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72"/>
          <w:szCs w:val="72"/>
        </w:rPr>
      </w:pPr>
      <w:r>
        <w:rPr>
          <w:rFonts w:hint="eastAsia"/>
          <w:sz w:val="72"/>
          <w:szCs w:val="72"/>
        </w:rPr>
        <w:t>湖南省煤田地质局第六勘探队</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color w:val="000000" w:themeColor="text1"/>
          <w:sz w:val="28"/>
          <w:szCs w:val="28"/>
        </w:rPr>
        <w:t>湖南省煤田地质局第六勘探队</w:t>
      </w:r>
      <w:r>
        <w:rPr>
          <w:rFonts w:hint="eastAsia"/>
          <w:b/>
          <w:sz w:val="28"/>
          <w:szCs w:val="28"/>
        </w:rPr>
        <w:t>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72"/>
          <w:szCs w:val="72"/>
        </w:rPr>
      </w:pPr>
      <w:r>
        <w:rPr>
          <w:rFonts w:hint="eastAsia"/>
          <w:sz w:val="72"/>
          <w:szCs w:val="72"/>
        </w:rPr>
        <w:t>湖南省煤田地质局第六勘探队</w:t>
      </w:r>
    </w:p>
    <w:p>
      <w:pPr>
        <w:pStyle w:val="9"/>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asciiTheme="minorEastAsia" w:hAnsiTheme="minorEastAsia"/>
          <w:sz w:val="32"/>
          <w:szCs w:val="32"/>
        </w:rPr>
      </w:pPr>
      <w:r>
        <w:rPr>
          <w:rFonts w:hint="eastAsia" w:asciiTheme="minorEastAsia" w:hAnsiTheme="minorEastAsia"/>
          <w:sz w:val="32"/>
          <w:szCs w:val="32"/>
        </w:rPr>
        <w:t>为国家建设提供地质勘探服务，地下水资源调查，区域工程地质调查，生态环境地质调查，地质灾害勘察与监测，专业地质技术研究开发，地质灾害防治工程设计与监理建筑基桩工程施工等。</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（一）内设机构设置。湖</w:t>
      </w:r>
      <w:r>
        <w:rPr>
          <w:rFonts w:asciiTheme="minorEastAsia" w:hAnsiTheme="minorEastAsia"/>
          <w:bCs/>
          <w:kern w:val="0"/>
          <w:sz w:val="32"/>
          <w:szCs w:val="32"/>
        </w:rPr>
        <w:t>南省煤田地质局第六勘探队</w:t>
      </w:r>
      <w:r>
        <w:rPr>
          <w:rFonts w:hint="eastAsia" w:asciiTheme="minorEastAsia" w:hAnsiTheme="minorEastAsia"/>
          <w:bCs/>
          <w:kern w:val="0"/>
          <w:sz w:val="32"/>
          <w:szCs w:val="32"/>
        </w:rPr>
        <w:t>内设机构包括：行政办公室、党委办公室、资产财务科、劳动人事科、审计科、经营管理科、安全科、纪检监察室、物质设备科、离退休办、工会委员会、团委、后勤管理中心、地勘公司、地勘院。</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（二）决算单位构成。湖南省煤田地质局第六勘探队</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21年部门决算汇总公开单位构成包括：湖南省煤田地质局第六勘探队本级。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黑体" w:hAnsi="黑体" w:eastAsia="黑体"/>
          <w:sz w:val="28"/>
          <w:szCs w:val="28"/>
        </w:rPr>
        <w:object>
          <v:shape id="_x0000_i1025" o:spt="75" type="#_x0000_t75" style="height:408pt;width:697.5pt;" o:ole="t" filled="f" o:preferrelative="t" stroked="f" coordsize="21600,21600">
            <v:path/>
            <v:fill on="f" focussize="0,0"/>
            <v:stroke on="f" joinstyle="miter"/>
            <v:imagedata r:id="rId5" o:title=""/>
            <o:lock v:ext="edit" aspectratio="f"/>
            <w10:wrap type="none"/>
            <w10:anchorlock/>
          </v:shape>
          <o:OLEObject Type="Embed" ProgID="Excel.Sheet.12" ShapeID="_x0000_i1025" DrawAspect="Content" ObjectID="_1468075725" r:id="rId4">
            <o:LockedField>false</o:LockedField>
          </o:OLEObject>
        </w:object>
      </w:r>
      <w:r>
        <w:rPr>
          <w:rFonts w:ascii="黑体" w:hAnsi="黑体" w:eastAsia="黑体"/>
          <w:sz w:val="28"/>
          <w:szCs w:val="28"/>
        </w:rPr>
        <w:object>
          <v:shape id="_x0000_i1026" o:spt="75" type="#_x0000_t75" style="height:397.5pt;width:698.25pt;" o:ole="t" filled="f" o:preferrelative="t" stroked="f" coordsize="21600,21600">
            <v:path/>
            <v:fill on="f" focussize="0,0"/>
            <v:stroke on="f" joinstyle="miter"/>
            <v:imagedata r:id="rId7" o:title=""/>
            <o:lock v:ext="edit" aspectratio="f"/>
            <w10:wrap type="none"/>
            <w10:anchorlock/>
          </v:shape>
          <o:OLEObject Type="Embed" ProgID="Excel.Sheet.12" ShapeID="_x0000_i1026" DrawAspect="Content" ObjectID="_1468075726" r:id="rId6">
            <o:LockedField>false</o:LockedField>
          </o:OLEObject>
        </w:object>
      </w:r>
    </w:p>
    <w:p>
      <w:pPr>
        <w:widowControl/>
        <w:jc w:val="left"/>
        <w:rPr>
          <w:rFonts w:ascii="Times New Roman" w:hAnsi="Times New Roman" w:eastAsia="方正小标宋_GBK" w:cs="Times New Roman"/>
          <w:color w:val="000000"/>
          <w:kern w:val="0"/>
          <w:sz w:val="36"/>
          <w:szCs w:val="21"/>
        </w:rPr>
      </w:pPr>
      <w:r>
        <w:rPr>
          <w:rFonts w:ascii="Times New Roman" w:hAnsi="Times New Roman" w:eastAsia="黑体" w:cs="Times New Roman"/>
          <w:bCs/>
          <w:kern w:val="0"/>
          <w:sz w:val="32"/>
          <w:szCs w:val="32"/>
        </w:rPr>
        <w:object>
          <v:shape id="_x0000_i1027" o:spt="75" type="#_x0000_t75" style="height:488.25pt;width:769.5pt;" o:ole="t" filled="f" o:preferrelative="t" stroked="f" coordsize="21600,21600">
            <v:path/>
            <v:fill on="f" focussize="0,0"/>
            <v:stroke on="f" joinstyle="miter"/>
            <v:imagedata r:id="rId9" o:title=""/>
            <o:lock v:ext="edit" aspectratio="f"/>
            <w10:wrap type="none"/>
            <w10:anchorlock/>
          </v:shape>
          <o:OLEObject Type="Embed" ProgID="Excel.Sheet.12" ShapeID="_x0000_i1027" DrawAspect="Content" ObjectID="_1468075727" r:id="rId8">
            <o:LockedField>false</o:LockedField>
          </o:OLEObject>
        </w:object>
      </w:r>
    </w:p>
    <w:p>
      <w:pPr>
        <w:widowControl/>
        <w:ind w:left="93"/>
        <w:rPr>
          <w:rFonts w:ascii="Times New Roman" w:hAnsi="Times New Roman" w:eastAsia="仿宋_GB2312" w:cs="Times New Roman"/>
          <w:bCs/>
          <w:kern w:val="0"/>
          <w:szCs w:val="21"/>
        </w:rPr>
      </w:pPr>
      <w:r>
        <w:rPr>
          <w:rFonts w:ascii="Times New Roman" w:hAnsi="Times New Roman" w:eastAsia="方正小标宋_GBK" w:cs="Times New Roman"/>
          <w:color w:val="000000"/>
          <w:kern w:val="0"/>
          <w:sz w:val="36"/>
          <w:szCs w:val="21"/>
        </w:rPr>
        <w:object>
          <v:shape id="_x0000_i1028" o:spt="75" type="#_x0000_t75" style="height:512.25pt;width:747pt;" o:ole="t" filled="f" o:preferrelative="t" stroked="f" coordsize="21600,21600">
            <v:path/>
            <v:fill on="f" focussize="0,0"/>
            <v:stroke on="f" joinstyle="miter"/>
            <v:imagedata r:id="rId11" o:title=""/>
            <o:lock v:ext="edit" aspectratio="f"/>
            <w10:wrap type="none"/>
            <w10:anchorlock/>
          </v:shape>
          <o:OLEObject Type="Embed" ProgID="Excel.Sheet.12" ShapeID="_x0000_i1028" DrawAspect="Content" ObjectID="_1468075728" r:id="rId10">
            <o:LockedField>false</o:LockedField>
          </o:OLEObject>
        </w:object>
      </w:r>
      <w:bookmarkStart w:id="0" w:name="RANGE!A1:I22"/>
      <w:bookmarkEnd w:id="0"/>
      <w:r>
        <w:rPr>
          <w:rFonts w:ascii="Times New Roman" w:hAnsi="Times New Roman" w:eastAsia="仿宋_GB2312" w:cs="Times New Roman"/>
          <w:bCs/>
          <w:kern w:val="0"/>
          <w:szCs w:val="21"/>
        </w:rPr>
        <w:object>
          <v:shape id="_x0000_i1029" o:spt="75" type="#_x0000_t75" style="height:510.75pt;width:727.5pt;" o:ole="t" filled="f" o:preferrelative="t" stroked="f" coordsize="21600,21600">
            <v:path/>
            <v:fill on="f" focussize="0,0"/>
            <v:stroke on="f" joinstyle="miter"/>
            <v:imagedata r:id="rId13" o:title=""/>
            <o:lock v:ext="edit" aspectratio="f"/>
            <w10:wrap type="none"/>
            <w10:anchorlock/>
          </v:shape>
          <o:OLEObject Type="Embed" ProgID="Excel.Sheet.12" ShapeID="_x0000_i1029" DrawAspect="Content" ObjectID="_1468075729" r:id="rId12">
            <o:LockedField>false</o:LockedField>
          </o:OLEObject>
        </w:object>
      </w:r>
      <w:r>
        <w:rPr>
          <w:rFonts w:ascii="Times New Roman" w:hAnsi="Times New Roman" w:eastAsia="仿宋_GB2312" w:cs="Times New Roman"/>
          <w:bCs/>
          <w:kern w:val="0"/>
          <w:szCs w:val="21"/>
        </w:rPr>
        <w:br w:type="page"/>
      </w:r>
    </w:p>
    <w:p>
      <w:pPr>
        <w:widowControl/>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object>
          <v:shape id="_x0000_i1030" o:spt="75" type="#_x0000_t75" style="height:492pt;width:769.5pt;" o:ole="t" filled="f" o:preferrelative="t" stroked="f" coordsize="21600,21600">
            <v:path/>
            <v:fill on="f" focussize="0,0"/>
            <v:stroke on="f" joinstyle="miter"/>
            <v:imagedata r:id="rId15" o:title=""/>
            <o:lock v:ext="edit" aspectratio="f"/>
            <w10:wrap type="none"/>
            <w10:anchorlock/>
          </v:shape>
          <o:OLEObject Type="Embed" ProgID="Excel.Sheet.12" ShapeID="_x0000_i1030" DrawAspect="Content" ObjectID="_1468075730" r:id="rId14">
            <o:LockedField>false</o:LockedField>
          </o:OLEObject>
        </w:object>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object>
          <v:shape id="_x0000_i1031" o:spt="75" type="#_x0000_t75" style="height:153.75pt;width:769.5pt;" o:ole="t" filled="f" o:preferrelative="t" stroked="f" coordsize="21600,21600">
            <v:path/>
            <v:fill on="f" focussize="0,0"/>
            <v:stroke on="f" joinstyle="miter"/>
            <v:imagedata r:id="rId17" o:title=""/>
            <o:lock v:ext="edit" aspectratio="f"/>
            <w10:wrap type="none"/>
            <w10:anchorlock/>
          </v:shape>
          <o:OLEObject Type="Embed" ProgID="Excel.Sheet.12" ShapeID="_x0000_i1031" DrawAspect="Content" ObjectID="_1468075731" r:id="rId16">
            <o:LockedField>false</o:LockedField>
          </o:OLEObject>
        </w:object>
      </w:r>
    </w:p>
    <w:p>
      <w:pPr>
        <w:snapToGrid/>
        <w:spacing w:line="360" w:lineRule="auto"/>
        <w:jc w:val="both"/>
        <w:rPr>
          <w:rFonts w:ascii="楷体" w:hAnsi="楷体" w:eastAsia="楷体" w:cs="楷体"/>
          <w:snapToGrid/>
          <w:sz w:val="24"/>
          <w:szCs w:val="24"/>
          <w:lang w:eastAsia="zh-CN"/>
        </w:rPr>
      </w:pPr>
      <w:r>
        <w:rPr>
          <w:rFonts w:ascii="楷体" w:hAnsi="楷体" w:eastAsia="楷体" w:cs="楷体"/>
          <w:snapToGrid/>
          <w:sz w:val="24"/>
          <w:szCs w:val="24"/>
          <w:lang w:eastAsia="zh-CN"/>
        </w:rPr>
        <w:t>说明：我单位</w:t>
      </w:r>
      <w:r>
        <w:rPr>
          <w:rFonts w:hint="eastAsia" w:ascii="楷体" w:hAnsi="楷体" w:eastAsia="楷体" w:cs="楷体"/>
          <w:snapToGrid/>
          <w:sz w:val="24"/>
          <w:szCs w:val="24"/>
          <w:lang w:eastAsia="zh-CN"/>
        </w:rPr>
        <w:t>财政拨款未</w:t>
      </w:r>
      <w:r>
        <w:rPr>
          <w:rFonts w:ascii="楷体" w:hAnsi="楷体" w:eastAsia="楷体" w:cs="楷体"/>
          <w:snapToGrid/>
          <w:sz w:val="24"/>
          <w:szCs w:val="24"/>
          <w:lang w:eastAsia="zh-CN"/>
        </w:rPr>
        <w:t>安排</w:t>
      </w:r>
      <w:r>
        <w:rPr>
          <w:rFonts w:hint="eastAsia" w:ascii="楷体" w:hAnsi="楷体" w:eastAsia="楷体" w:cs="楷体"/>
          <w:snapToGrid/>
          <w:sz w:val="24"/>
          <w:szCs w:val="24"/>
          <w:lang w:eastAsia="zh-CN"/>
        </w:rPr>
        <w:t>“三公”经费</w:t>
      </w:r>
      <w:r>
        <w:rPr>
          <w:rFonts w:ascii="楷体" w:hAnsi="楷体" w:eastAsia="楷体" w:cs="楷体"/>
          <w:snapToGrid/>
          <w:sz w:val="24"/>
          <w:szCs w:val="24"/>
          <w:lang w:eastAsia="zh-CN"/>
        </w:rPr>
        <w:t>的支出，故本表无数据。</w:t>
      </w: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r>
        <w:rPr>
          <w:rFonts w:ascii="宋体" w:eastAsia="宋体" w:cs="宋体"/>
          <w:kern w:val="0"/>
          <w:sz w:val="24"/>
          <w:szCs w:val="24"/>
        </w:rPr>
        <w:object>
          <v:shape id="_x0000_i1032" o:spt="75" type="#_x0000_t75" style="height:169.5pt;width:750.75pt;" o:ole="t" filled="f" o:preferrelative="t" stroked="f" coordsize="21600,21600">
            <v:path/>
            <v:fill on="f" focussize="0,0"/>
            <v:stroke on="f" joinstyle="miter"/>
            <v:imagedata r:id="rId19" o:title=""/>
            <o:lock v:ext="edit" aspectratio="f"/>
            <w10:wrap type="none"/>
            <w10:anchorlock/>
          </v:shape>
          <o:OLEObject Type="Embed" ProgID="Excel.Sheet.12" ShapeID="_x0000_i1032" DrawAspect="Content" ObjectID="_1468075732" r:id="rId18">
            <o:LockedField>false</o:LockedField>
          </o:OLEObject>
        </w:object>
      </w:r>
    </w:p>
    <w:p>
      <w:pPr>
        <w:snapToGrid/>
        <w:spacing w:line="360" w:lineRule="auto"/>
        <w:ind w:firstLine="240" w:firstLineChars="100"/>
        <w:jc w:val="both"/>
        <w:rPr>
          <w:rFonts w:ascii="楷体" w:hAnsi="楷体" w:eastAsia="楷体" w:cs="楷体"/>
          <w:snapToGrid/>
          <w:sz w:val="24"/>
          <w:szCs w:val="24"/>
          <w:lang w:eastAsia="zh-CN"/>
        </w:rPr>
      </w:pPr>
      <w:r>
        <w:rPr>
          <w:rFonts w:ascii="楷体" w:hAnsi="楷体" w:eastAsia="楷体" w:cs="楷体"/>
          <w:snapToGrid/>
          <w:sz w:val="24"/>
          <w:szCs w:val="24"/>
          <w:lang w:eastAsia="zh-CN"/>
        </w:rPr>
        <w:t>说明：我单位没有政府性基金收入，也没有使用政府性基金安排的支出，故本表无数据。</w:t>
      </w: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jc w:val="left"/>
        <w:rPr>
          <w:rFonts w:ascii="宋体" w:eastAsia="宋体" w:cs="宋体"/>
          <w:kern w:val="0"/>
          <w:sz w:val="24"/>
          <w:szCs w:val="24"/>
        </w:rPr>
      </w:pPr>
    </w:p>
    <w:p>
      <w:pPr>
        <w:pStyle w:val="9"/>
        <w:rPr>
          <w:sz w:val="72"/>
          <w:szCs w:val="72"/>
        </w:rPr>
      </w:pPr>
    </w:p>
    <w:p>
      <w:pPr>
        <w:pStyle w:val="9"/>
        <w:rPr>
          <w:sz w:val="72"/>
          <w:szCs w:val="72"/>
        </w:rPr>
      </w:pPr>
      <w:r>
        <w:rPr>
          <w:sz w:val="72"/>
          <w:szCs w:val="72"/>
        </w:rPr>
        <w:object>
          <v:shape id="_x0000_i1033" o:spt="75" type="#_x0000_t75" style="height:229.5pt;width:747.75pt;" o:ole="t" filled="f" o:preferrelative="t" stroked="f" coordsize="21600,21600">
            <v:path/>
            <v:fill on="f" focussize="0,0"/>
            <v:stroke on="f" joinstyle="miter"/>
            <v:imagedata r:id="rId21" o:title=""/>
            <o:lock v:ext="edit" aspectratio="f"/>
            <w10:wrap type="none"/>
            <w10:anchorlock/>
          </v:shape>
          <o:OLEObject Type="Embed" ProgID="Excel.Sheet.12" ShapeID="_x0000_i1033" DrawAspect="Content" ObjectID="_1468075733" r:id="rId20">
            <o:LockedField>false</o:LockedField>
          </o:OLEObject>
        </w:object>
      </w:r>
    </w:p>
    <w:p>
      <w:pPr>
        <w:snapToGrid/>
        <w:spacing w:line="360" w:lineRule="auto"/>
        <w:jc w:val="both"/>
        <w:rPr>
          <w:rFonts w:ascii="楷体" w:hAnsi="楷体" w:eastAsia="楷体" w:cs="楷体"/>
          <w:snapToGrid/>
          <w:sz w:val="24"/>
          <w:szCs w:val="24"/>
          <w:lang w:eastAsia="zh-CN"/>
        </w:rPr>
      </w:pPr>
      <w:r>
        <w:rPr>
          <w:rFonts w:ascii="楷体" w:hAnsi="楷体" w:eastAsia="楷体" w:cs="楷体"/>
          <w:snapToGrid/>
          <w:sz w:val="24"/>
          <w:szCs w:val="24"/>
          <w:lang w:eastAsia="zh-CN"/>
        </w:rPr>
        <w:t>说明：我单位没有使用国有资本经营预算安排的支出，故本表无数据。</w:t>
      </w:r>
    </w:p>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2021年度收入总计5494.69万元（含年初结转和结余241.2万元）</w:t>
      </w:r>
      <w:r>
        <w:rPr>
          <w:rFonts w:hint="eastAsia" w:asciiTheme="minorEastAsia" w:hAnsiTheme="minorEastAsia" w:eastAsiaTheme="minorEastAsia"/>
          <w:color w:val="auto"/>
          <w:sz w:val="32"/>
          <w:szCs w:val="32"/>
        </w:rPr>
        <w:t>，</w:t>
      </w:r>
      <w:r>
        <w:rPr>
          <w:rFonts w:hint="eastAsia" w:asciiTheme="minorEastAsia" w:hAnsiTheme="minorEastAsia" w:eastAsiaTheme="minorEastAsia"/>
          <w:sz w:val="32"/>
          <w:szCs w:val="32"/>
        </w:rPr>
        <w:t>与上年5315.97万元相比增加178.72万元，增长3.36%，主要是因为经</w:t>
      </w:r>
      <w:r>
        <w:rPr>
          <w:rFonts w:asciiTheme="minorEastAsia" w:hAnsiTheme="minorEastAsia" w:eastAsiaTheme="minorEastAsia"/>
          <w:sz w:val="32"/>
          <w:szCs w:val="32"/>
        </w:rPr>
        <w:t>营服务收入增长。总支出</w:t>
      </w:r>
      <w:r>
        <w:rPr>
          <w:rFonts w:hint="eastAsia" w:asciiTheme="minorEastAsia" w:hAnsiTheme="minorEastAsia" w:eastAsiaTheme="minorEastAsia"/>
          <w:sz w:val="32"/>
          <w:szCs w:val="32"/>
        </w:rPr>
        <w:t>5494.69万元（含结余分配67.36万元，年末结转和结余181.7万元），与上年5315.97万元相比增加178.72万元，增长3.36%，主要是经营服务收入增长，经营支出也相应增加。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2021年度收入合计5253.49万元，其中：财政拨款收入2492.58万元，占47.45%；上级补助收入0万元；事业收入0万元；经营收入2760.91万元，占52.55%；附属单位上缴收入0万元；其他收入0万元。</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2021年度支出合计5245.63万元，其中：基本支出2056.62万元，占39.21%；项目支出495.46万元，占9.44%；上缴上级支出0万元；经营支出2693.55万元，占51.35%；对附属单位补助支出0万元。</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入总计2728.51万元（含年初财政拨款年初结转和结余235.93万元），比上年3920.02万元减少1191.51万元，减少30.4%，主要原因是年初结转和结余及人员经费收入减少。财政拨款支出2728.51万元（含年末财政拨款结转和结余181.7万元），与上年3920.02万元减少1191.51万元，减少30.4%，主要是人员经费及政府采购较上年减少。</w:t>
      </w:r>
    </w:p>
    <w:p>
      <w:pPr>
        <w:pStyle w:val="9"/>
        <w:rPr>
          <w:rFonts w:hAnsi="黑体"/>
          <w:b/>
          <w:sz w:val="32"/>
          <w:szCs w:val="32"/>
        </w:rPr>
      </w:pPr>
      <w:r>
        <w:rPr>
          <w:rFonts w:hint="eastAsia" w:hAnsi="黑体"/>
          <w:b/>
          <w:sz w:val="32"/>
          <w:szCs w:val="32"/>
        </w:rPr>
        <w:t>五、一般公共预算财政拨款支出决算情况说明</w:t>
      </w:r>
    </w:p>
    <w:p>
      <w:pPr>
        <w:pStyle w:val="9"/>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2021年度财政拨款支出2546.8万元，占本年支出合计的48.55%，与上年3684.09万元相比，财政拨款支出减少1137.29万元，减少44.65%，</w:t>
      </w:r>
      <w:r>
        <w:rPr>
          <w:rFonts w:hint="eastAsia" w:asciiTheme="minorEastAsia" w:hAnsiTheme="minorEastAsia" w:eastAsiaTheme="minorEastAsia"/>
          <w:color w:val="000000" w:themeColor="text1"/>
          <w:sz w:val="32"/>
          <w:szCs w:val="32"/>
        </w:rPr>
        <w:t>主要为一是2020年追加综治奖，本年无此项支出；二是政府采购款较上年减少。</w:t>
      </w:r>
    </w:p>
    <w:p>
      <w:pPr>
        <w:pStyle w:val="9"/>
        <w:ind w:firstLine="482"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2546.8万元，主要用于以下方面：一般公共服务（类）支出0万元；教育（类）支出8万元，占0.31%;社会保障和就业（类）支出419.63万元，占16.48%；卫生健康（类）支出146.76万元，占5.76%；资源勘探工业信息（类）等支出147.3万元，占5.78%；自然资源海洋气象（类）等支出1375.89万元，占54.02%；住房保障（类）支出195万元，占7.66%;灾害防治及应急管理（类）支出254.22万元，占9.99%。</w:t>
      </w:r>
    </w:p>
    <w:p>
      <w:pPr>
        <w:pStyle w:val="9"/>
        <w:ind w:firstLine="80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2021年度财政拨款支出年初预算数为2056.62万元，支出决算数为2546.8万元，完成年初预算的123.83%，其中：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1、教育支出（类）进修及培训（款）培训支出（项）。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年初预算为8万元，支出决算为8万元，完成年初预算的100%。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2、社会保障和就业支出（类）行政事业单位养老支出（款）事业单位离退休（项）。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年初预算为110.97万元，支出决算为110.97万元，完成年初预算的100%。</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社会保障和就业支出（类）行政事业单位养老支出（款）机关事业单位基本养老保险缴费支出（项）。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年初预算为308.66万元，支出决算为308.66万元，完成年初预算的100%。</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卫生健康支出（类）行政事业单位医疗（款）事业单位医疗（项）。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年初预算为146.76万元，支出决算为146.76万元，完成年初预算的100%。</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资源勘探工业信息等支出（类）资源勘探开发（款）其他资源勘探业支出（项）。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年初预算为0万元，支出决算为147.3万元，</w:t>
      </w:r>
      <w:r>
        <w:rPr>
          <w:rFonts w:hint="eastAsia" w:asciiTheme="minorEastAsia" w:hAnsiTheme="minorEastAsia" w:eastAsiaTheme="minorEastAsia"/>
          <w:sz w:val="32"/>
          <w:szCs w:val="32"/>
          <w:lang w:eastAsia="zh-CN"/>
        </w:rPr>
        <w:t>由于预算数为</w:t>
      </w:r>
      <w:r>
        <w:rPr>
          <w:rFonts w:hint="eastAsia" w:asciiTheme="minorEastAsia" w:hAnsiTheme="minorEastAsia" w:eastAsiaTheme="minorEastAsia"/>
          <w:sz w:val="32"/>
          <w:szCs w:val="32"/>
          <w:lang w:val="en-US" w:eastAsia="zh-CN"/>
        </w:rPr>
        <w:t>0，无法计算百分比，</w:t>
      </w:r>
      <w:r>
        <w:rPr>
          <w:rFonts w:hint="eastAsia" w:asciiTheme="minorEastAsia" w:hAnsiTheme="minorEastAsia" w:eastAsiaTheme="minorEastAsia"/>
          <w:sz w:val="32"/>
          <w:szCs w:val="32"/>
        </w:rPr>
        <w:t>决算数大于年初预算数的主要原因是：本年追加基地提升改造、“我为群众办实事”、“资产清算”及老工伤“一次性伤残补助金”专项支出。</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自然资源海洋气象等支出（类）自然资源事务（款）地质矿产资源与环境调查（项）。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年初预算为0万元，支出决算为88.66万元，</w:t>
      </w:r>
      <w:r>
        <w:rPr>
          <w:rFonts w:hint="eastAsia" w:asciiTheme="minorEastAsia" w:hAnsiTheme="minorEastAsia" w:eastAsiaTheme="minorEastAsia"/>
          <w:sz w:val="32"/>
          <w:szCs w:val="32"/>
          <w:lang w:eastAsia="zh-CN"/>
        </w:rPr>
        <w:t>由于预算数为</w:t>
      </w:r>
      <w:r>
        <w:rPr>
          <w:rFonts w:hint="eastAsia" w:asciiTheme="minorEastAsia" w:hAnsiTheme="minorEastAsia" w:eastAsiaTheme="minorEastAsia"/>
          <w:sz w:val="32"/>
          <w:szCs w:val="32"/>
          <w:lang w:val="en-US" w:eastAsia="zh-CN"/>
        </w:rPr>
        <w:t>0，无法计算百分比，</w:t>
      </w:r>
      <w:r>
        <w:rPr>
          <w:rFonts w:hint="eastAsia" w:asciiTheme="minorEastAsia" w:hAnsiTheme="minorEastAsia" w:eastAsiaTheme="minorEastAsia"/>
          <w:sz w:val="32"/>
          <w:szCs w:val="32"/>
        </w:rPr>
        <w:t>决算数大于年初预算数的主要原因是：本年追加2021年矿产资源国情调查等项目支出。</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自然资源海洋气象等支出（类）自然资源事务（款）事业运行（项）。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年初预算为1287.23万元，支出决算为1287.23万元，完成年初预算的100%。</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住房保障支出（类）住房改革支出（款）住房公积金（项）。</w:t>
      </w:r>
    </w:p>
    <w:p>
      <w:pPr>
        <w:pStyle w:val="9"/>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年初预算为195万元，支出决算为195万元，完成年初预算的100%。</w:t>
      </w:r>
    </w:p>
    <w:p>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灾害防治及应急管理支出（类）自然灾害防治（款） 地质灾害防治（项）。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年初预算为0万元，支出决算为254.22万元，</w:t>
      </w:r>
      <w:r>
        <w:rPr>
          <w:rFonts w:hint="eastAsia" w:asciiTheme="minorEastAsia" w:hAnsiTheme="minorEastAsia" w:eastAsiaTheme="minorEastAsia"/>
          <w:sz w:val="32"/>
          <w:szCs w:val="32"/>
          <w:lang w:eastAsia="zh-CN"/>
        </w:rPr>
        <w:t>由于预算数为</w:t>
      </w:r>
      <w:r>
        <w:rPr>
          <w:rFonts w:hint="eastAsia" w:asciiTheme="minorEastAsia" w:hAnsiTheme="minorEastAsia" w:eastAsiaTheme="minorEastAsia"/>
          <w:sz w:val="32"/>
          <w:szCs w:val="32"/>
          <w:lang w:val="en-US" w:eastAsia="zh-CN"/>
        </w:rPr>
        <w:t>0，无法计算百分比，</w:t>
      </w:r>
      <w:r>
        <w:rPr>
          <w:rFonts w:hint="eastAsia" w:asciiTheme="minorEastAsia" w:hAnsiTheme="minorEastAsia" w:eastAsiaTheme="minorEastAsia"/>
          <w:sz w:val="32"/>
          <w:szCs w:val="32"/>
        </w:rPr>
        <w:t>决算数大于年初预算数的主要原因是：中央自然灾害防治体系建设项目上年结转及本年追加预算支出。</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2056.62万元，其中：人员经费1938.12万元，占基本支出的94.24%,主要包括基本工资、津贴补贴、绩效工资、机关事业单位基本养老保险缴费、职工基本医疗保险缴费、其他社会保障缴费、住房公积金、对个人和家庭的补助支出；公用经费118.5万元，占基本支出的5.76%，主要包括办公费、水费、电费、邮电费、物业管理费、差旅费、维修（护）费、培训费、工会经费、福利费、其他交通费用、其他商品和服务支出。</w:t>
      </w:r>
    </w:p>
    <w:p>
      <w:pPr>
        <w:pStyle w:val="9"/>
        <w:rPr>
          <w:rFonts w:hAnsi="黑体"/>
          <w:b/>
          <w:sz w:val="32"/>
          <w:szCs w:val="32"/>
        </w:rPr>
      </w:pPr>
      <w:r>
        <w:rPr>
          <w:rFonts w:hint="eastAsia" w:hAnsi="黑体"/>
          <w:b/>
          <w:sz w:val="32"/>
          <w:szCs w:val="32"/>
        </w:rPr>
        <w:t>七、一般公共预算财政拨款“三公”经费支出决算情况说明</w:t>
      </w:r>
    </w:p>
    <w:p>
      <w:pPr>
        <w:pStyle w:val="9"/>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2021年度“三公”经费财政拨款支出预算为0万元，支出决算为0万元</w:t>
      </w:r>
      <w:r>
        <w:rPr>
          <w:rFonts w:hint="eastAsia" w:asciiTheme="minorEastAsia" w:hAnsiTheme="minorEastAsia" w:eastAsiaTheme="minorEastAsia"/>
          <w:sz w:val="32"/>
          <w:szCs w:val="32"/>
          <w:lang w:eastAsia="zh-CN"/>
        </w:rPr>
        <w:t>，由于预算数为</w:t>
      </w:r>
      <w:r>
        <w:rPr>
          <w:rFonts w:hint="eastAsia" w:asciiTheme="minorEastAsia" w:hAnsiTheme="minorEastAsia" w:eastAsiaTheme="minorEastAsia"/>
          <w:sz w:val="32"/>
          <w:szCs w:val="32"/>
          <w:lang w:val="en-US" w:eastAsia="zh-CN"/>
        </w:rPr>
        <w:t>0，无法计算百分比</w:t>
      </w:r>
      <w:r>
        <w:rPr>
          <w:rFonts w:hint="eastAsia" w:asciiTheme="minorEastAsia" w:hAnsiTheme="minorEastAsia" w:eastAsiaTheme="minorEastAsia"/>
          <w:sz w:val="32"/>
          <w:szCs w:val="32"/>
        </w:rPr>
        <w:t>。主要原因是本单位财政拨款只能满足对个人和家庭的补助支出、社会保障费、部分工资福利支出，未用财政拨款编列“三公”经费预算。</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我单位未支出因公出国（境）费用</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w:t>
      </w:r>
      <w:r>
        <w:rPr>
          <w:rFonts w:hint="eastAsia" w:asciiTheme="minorEastAsia" w:hAnsiTheme="minorEastAsia" w:eastAsiaTheme="minorEastAsia"/>
          <w:sz w:val="32"/>
          <w:szCs w:val="32"/>
          <w:lang w:eastAsia="zh-CN"/>
        </w:rPr>
        <w:t>公务接待</w:t>
      </w:r>
      <w:r>
        <w:rPr>
          <w:rFonts w:hint="eastAsia" w:asciiTheme="minorEastAsia" w:hAnsiTheme="minorEastAsia" w:eastAsiaTheme="minorEastAsia"/>
          <w:sz w:val="32"/>
          <w:szCs w:val="32"/>
        </w:rPr>
        <w:t>费用</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我单位未支出公务用车购置费</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w:t>
      </w:r>
      <w:r>
        <w:rPr>
          <w:rFonts w:hint="eastAsia" w:asciiTheme="minorEastAsia" w:hAnsiTheme="minorEastAsia" w:eastAsiaTheme="minorEastAsia"/>
          <w:sz w:val="32"/>
          <w:szCs w:val="32"/>
          <w:lang w:eastAsia="zh-CN"/>
        </w:rPr>
        <w:t>公务用车运行维护</w:t>
      </w:r>
      <w:bookmarkStart w:id="1" w:name="_GoBack"/>
      <w:bookmarkEnd w:id="1"/>
      <w:r>
        <w:rPr>
          <w:rFonts w:hint="eastAsia" w:asciiTheme="minorEastAsia" w:hAnsiTheme="minorEastAsia" w:eastAsiaTheme="minorEastAsia"/>
          <w:sz w:val="32"/>
          <w:szCs w:val="32"/>
        </w:rPr>
        <w:t>费用</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pPr>
        <w:pStyle w:val="9"/>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2021年度“三公”经费财政拨款支出决算中，公务接待费支出决算0万元,因公出国（境）费支出决算0万元,公务用车购置费及运行维护费支出决算0万元。其中：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3、公务用车购置费及运行维护费支出决算为0万元，其中：公务用车购置费0万元，我单位更新公务用车0辆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公务用车运行维护费0万元，截止2021年12月31日，我单位开支财政拨款的公务用车保有量为0辆。</w:t>
      </w:r>
    </w:p>
    <w:p>
      <w:pPr>
        <w:pStyle w:val="9"/>
        <w:rPr>
          <w:rFonts w:hAnsi="黑体"/>
          <w:b/>
          <w:sz w:val="32"/>
          <w:szCs w:val="32"/>
        </w:rPr>
      </w:pPr>
      <w:r>
        <w:rPr>
          <w:rFonts w:hint="eastAsia" w:hAnsi="黑体"/>
          <w:b/>
          <w:sz w:val="32"/>
          <w:szCs w:val="32"/>
        </w:rPr>
        <w:t>八、政府性基金预算收入支出决算情况</w:t>
      </w:r>
    </w:p>
    <w:p>
      <w:pPr>
        <w:pStyle w:val="9"/>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本单位</w:t>
      </w: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本单位无政府基金收支。</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机关运行经费支出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，比年初预算数</w:t>
      </w:r>
      <w:r>
        <w:rPr>
          <w:rFonts w:hint="eastAsia" w:asciiTheme="minorEastAsia" w:hAnsiTheme="minorEastAsia" w:eastAsiaTheme="minorEastAsia"/>
          <w:sz w:val="32"/>
          <w:szCs w:val="32"/>
          <w:lang w:val="en-US" w:eastAsia="zh-CN"/>
        </w:rPr>
        <w:t>0万元无增减变化。</w:t>
      </w:r>
    </w:p>
    <w:p>
      <w:pPr>
        <w:pStyle w:val="9"/>
        <w:rPr>
          <w:rFonts w:hAnsi="黑体"/>
          <w:b/>
          <w:sz w:val="32"/>
          <w:szCs w:val="32"/>
        </w:rPr>
      </w:pPr>
      <w:r>
        <w:rPr>
          <w:rFonts w:hint="eastAsia" w:hAnsi="黑体"/>
          <w:b/>
          <w:sz w:val="32"/>
          <w:szCs w:val="32"/>
        </w:rPr>
        <w:t>十、一般性支出情况说明</w:t>
      </w:r>
    </w:p>
    <w:p>
      <w:pPr>
        <w:widowControl/>
        <w:spacing w:line="600" w:lineRule="exact"/>
        <w:ind w:firstLine="66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2021年本单位开支会议费0万元；开支培训费8万元，用于专业、安全、管理等培训，培训人次84人，内容为专业技术人员继续教育、安全资格管理、油气钻井三证、地灾治理等；</w:t>
      </w:r>
      <w:r>
        <w:rPr>
          <w:rFonts w:hint="eastAsia" w:cs="黑体" w:asciiTheme="minorEastAsia" w:hAnsiTheme="minorEastAsia"/>
          <w:color w:val="000000"/>
          <w:kern w:val="0"/>
          <w:sz w:val="32"/>
          <w:szCs w:val="32"/>
        </w:rPr>
        <w:t>未举办节庆、晚会、论坛、赛事活动</w:t>
      </w:r>
      <w:r>
        <w:rPr>
          <w:rFonts w:hint="eastAsia" w:cs="黑体" w:asciiTheme="minorEastAsia" w:hAnsiTheme="minorEastAsia"/>
          <w:color w:val="000000"/>
          <w:kern w:val="0"/>
          <w:sz w:val="32"/>
          <w:szCs w:val="32"/>
          <w:lang w:eastAsia="zh-CN"/>
        </w:rPr>
        <w:t>，开支</w:t>
      </w:r>
      <w:r>
        <w:rPr>
          <w:rFonts w:hint="eastAsia" w:cs="黑体" w:asciiTheme="minorEastAsia" w:hAnsiTheme="minorEastAsia"/>
          <w:color w:val="000000"/>
          <w:kern w:val="0"/>
          <w:sz w:val="32"/>
          <w:szCs w:val="32"/>
          <w:lang w:val="en-US" w:eastAsia="zh-CN"/>
        </w:rPr>
        <w:t>0万元</w:t>
      </w:r>
      <w:r>
        <w:rPr>
          <w:rFonts w:hint="eastAsia" w:cs="黑体" w:asciiTheme="minorEastAsia" w:hAnsiTheme="minorEastAsia"/>
          <w:color w:val="000000"/>
          <w:kern w:val="0"/>
          <w:sz w:val="32"/>
          <w:szCs w:val="32"/>
        </w:rPr>
        <w:t>。</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本部门2021年度政府采购支出总额186.04万元，其中：政府采购货物支出74.14万元、政府采购工程支出101.84万元、政府采购服务支出10.06万元。</w:t>
      </w:r>
      <w:r>
        <w:rPr>
          <w:rFonts w:hint="eastAsia" w:asciiTheme="minorEastAsia" w:hAnsiTheme="minorEastAsia" w:eastAsiaTheme="minorEastAsia"/>
          <w:color w:val="000000" w:themeColor="text1"/>
          <w:sz w:val="32"/>
          <w:szCs w:val="32"/>
        </w:rPr>
        <w:t>授予中小企业合同金额186.04万元，占政府采购支出总额的100%</w:t>
      </w:r>
      <w:r>
        <w:rPr>
          <w:rFonts w:hint="eastAsia" w:asciiTheme="minorEastAsia" w:hAnsiTheme="minorEastAsia" w:eastAsiaTheme="minorEastAsia"/>
          <w:color w:val="000000" w:themeColor="text1"/>
          <w:sz w:val="32"/>
          <w:szCs w:val="32"/>
          <w:lang w:eastAsia="zh-CN"/>
        </w:rPr>
        <w:t>，</w:t>
      </w:r>
      <w:r>
        <w:rPr>
          <w:rFonts w:hint="eastAsia" w:cs="黑体" w:asciiTheme="minorEastAsia" w:hAnsiTheme="minorEastAsia" w:eastAsiaTheme="minorEastAsia"/>
          <w:color w:val="000000"/>
          <w:kern w:val="0"/>
          <w:sz w:val="32"/>
          <w:szCs w:val="32"/>
          <w:lang w:val="en-US" w:eastAsia="zh-CN" w:bidi="ar-SA"/>
        </w:rPr>
        <w:t>其中：授予小微企业合同金额0万元，占授予中小企业合同金额的0%；货物采购授予中小企业合同金额占货物支出金额的100%，工程采购授予中小企业合同金额占工程支出金额的100%，服务采购授予中小企业合同金额占服务支出金额的100%。</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单位共有车辆1辆，其中，主要领导干部用车0辆，机要通信用车0辆、应急保障用车0辆、执法执勤用车0辆、特种专业技术用车0辆、其他用车1辆，其他用车主要为钻机运送小件材料；单位价值50万元以上通用设备1台（套）；单位价值100万元以上专用设备3台（套）。</w:t>
      </w:r>
    </w:p>
    <w:p>
      <w:pPr>
        <w:pStyle w:val="9"/>
        <w:rPr>
          <w:rFonts w:hAnsi="黑体"/>
          <w:b/>
          <w:sz w:val="32"/>
          <w:szCs w:val="32"/>
        </w:rPr>
      </w:pPr>
      <w:r>
        <w:rPr>
          <w:rFonts w:hint="eastAsia" w:hAnsi="黑体"/>
          <w:b/>
          <w:sz w:val="32"/>
          <w:szCs w:val="32"/>
        </w:rPr>
        <w:t>十三、2021年度预算绩效情况说明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pPr>
        <w:pStyle w:val="9"/>
        <w:ind w:firstLine="640" w:firstLineChars="200"/>
        <w:rPr>
          <w:rFonts w:hint="eastAsia" w:asciiTheme="minorEastAsia" w:hAnsiTheme="minorEastAsia" w:eastAsiaTheme="minorEastAsia"/>
          <w:sz w:val="32"/>
          <w:szCs w:val="3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ind w:firstLine="2880" w:firstLineChars="400"/>
        <w:jc w:val="both"/>
        <w:rPr>
          <w:sz w:val="72"/>
          <w:szCs w:val="72"/>
        </w:rPr>
      </w:pPr>
    </w:p>
    <w:p>
      <w:pPr>
        <w:pStyle w:val="9"/>
        <w:ind w:firstLine="2880" w:firstLineChars="400"/>
        <w:jc w:val="both"/>
        <w:rPr>
          <w:sz w:val="72"/>
          <w:szCs w:val="72"/>
        </w:rPr>
      </w:pPr>
    </w:p>
    <w:p>
      <w:pPr>
        <w:pStyle w:val="9"/>
        <w:ind w:firstLine="2880" w:firstLineChars="400"/>
        <w:jc w:val="both"/>
        <w:rPr>
          <w:sz w:val="72"/>
          <w:szCs w:val="72"/>
        </w:rPr>
      </w:pPr>
    </w:p>
    <w:p>
      <w:pPr>
        <w:pStyle w:val="9"/>
        <w:ind w:firstLine="2880" w:firstLineChars="400"/>
        <w:jc w:val="both"/>
        <w:rPr>
          <w:sz w:val="72"/>
          <w:szCs w:val="72"/>
        </w:rPr>
      </w:pPr>
    </w:p>
    <w:p>
      <w:pPr>
        <w:pStyle w:val="9"/>
        <w:ind w:firstLine="2880" w:firstLineChars="400"/>
        <w:jc w:val="both"/>
        <w:rPr>
          <w:sz w:val="72"/>
          <w:szCs w:val="72"/>
        </w:rPr>
      </w:pPr>
    </w:p>
    <w:p>
      <w:pPr>
        <w:pStyle w:val="9"/>
        <w:ind w:firstLine="2880" w:firstLineChars="400"/>
        <w:jc w:val="both"/>
        <w:rPr>
          <w:sz w:val="72"/>
          <w:szCs w:val="72"/>
        </w:rPr>
      </w:pPr>
    </w:p>
    <w:p>
      <w:pPr>
        <w:pStyle w:val="9"/>
        <w:ind w:firstLine="2880" w:firstLineChars="400"/>
        <w:jc w:val="both"/>
        <w:rPr>
          <w:sz w:val="72"/>
          <w:szCs w:val="72"/>
        </w:rPr>
      </w:pPr>
    </w:p>
    <w:p>
      <w:pPr>
        <w:pStyle w:val="9"/>
        <w:ind w:firstLine="2880" w:firstLineChars="4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一、基本支出：指为保障机构正常运转、完成日常工作任务而发生的各项支出，包括人员支出和公用支出。</w:t>
      </w:r>
    </w:p>
    <w:p>
      <w:pPr>
        <w:widowControl/>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二、项目支出：指在基本支出以外为完成相关行政任务和事业发展目标所发生的各项支出。</w:t>
      </w:r>
    </w:p>
    <w:p>
      <w:pPr>
        <w:widowControl/>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三、“三公”经费：指通过财政拨款资金安排的因公出国（境）费、公务用车购置及运行费和公务接待费支出。</w:t>
      </w:r>
    </w:p>
    <w:p>
      <w:pPr>
        <w:widowControl/>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9"/>
        <w:rPr>
          <w:rFonts w:hint="eastAsia" w:asciiTheme="minorEastAsia" w:hAnsiTheme="minorEastAsia" w:eastAsiaTheme="minorEastAsia"/>
          <w:sz w:val="32"/>
          <w:szCs w:val="32"/>
        </w:rPr>
      </w:pPr>
      <w:r>
        <w:rPr>
          <w:rFonts w:hint="eastAsia" w:cs="黑体" w:asciiTheme="minorEastAsia" w:hAnsiTheme="minorEastAsia" w:eastAsiaTheme="minorEastAsia"/>
          <w:color w:val="000000"/>
          <w:kern w:val="0"/>
          <w:sz w:val="32"/>
          <w:szCs w:val="32"/>
          <w:lang w:val="en-US" w:eastAsia="zh-CN" w:bidi="ar-SA"/>
        </w:rPr>
        <w:t>五、</w:t>
      </w:r>
      <w:r>
        <w:rPr>
          <w:rFonts w:hint="eastAsia" w:asciiTheme="minorEastAsia" w:hAnsiTheme="minorEastAsia" w:eastAsiaTheme="minorEastAsia"/>
          <w:sz w:val="32"/>
          <w:szCs w:val="32"/>
        </w:rPr>
        <w:t>资源勘探工业信息等支出（类）资源勘探开发（款）其他资源勘探业支出（项）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反映除煤炭、石油和天然气、黑色金属、有色金属、非金属以外其他用于资源勘探业方面的支出。</w:t>
      </w:r>
    </w:p>
    <w:p>
      <w:pPr>
        <w:spacing w:before="62" w:line="372" w:lineRule="auto"/>
        <w:ind w:left="2" w:firstLine="7"/>
        <w:jc w:val="both"/>
        <w:rPr>
          <w:rFonts w:hint="eastAsia" w:cs="黑体" w:asciiTheme="minorEastAsia" w:hAnsiTheme="minorEastAsia" w:eastAsiaTheme="minorEastAsia"/>
          <w:color w:val="000000"/>
          <w:kern w:val="0"/>
          <w:sz w:val="32"/>
          <w:szCs w:val="32"/>
          <w:lang w:val="en-US" w:eastAsia="zh-CN" w:bidi="ar-SA"/>
        </w:rPr>
      </w:pPr>
      <w:r>
        <w:rPr>
          <w:rFonts w:hint="eastAsia" w:asciiTheme="minorEastAsia" w:hAnsiTheme="minorEastAsia" w:eastAsiaTheme="minorEastAsia"/>
          <w:sz w:val="32"/>
          <w:szCs w:val="32"/>
          <w:lang w:eastAsia="zh-CN"/>
        </w:rPr>
        <w:t>六、</w:t>
      </w:r>
      <w:r>
        <w:rPr>
          <w:rFonts w:hint="eastAsia" w:cs="黑体" w:asciiTheme="minorEastAsia" w:hAnsiTheme="minorEastAsia" w:eastAsiaTheme="minorEastAsia"/>
          <w:color w:val="000000"/>
          <w:kern w:val="0"/>
          <w:sz w:val="32"/>
          <w:szCs w:val="32"/>
          <w:lang w:val="en-US" w:eastAsia="zh-CN" w:bidi="ar-SA"/>
        </w:rPr>
        <w:t>自然资源海洋气象等支出（类）自然资源事务（款）地质矿产资源与环境调查（项）：反映用于中国地质调查局开展陆域海城公益性基础地质调查、 重要能源资源矿产调查;服务国民经济和生态文明建设开展重要经济区和城  市群综合地质调查、地质灾害隐患和水文地质环境调查;服务“一带一路 ”、 军民融合等国家重大战略开展相关地质调查工作; 以及加强地质资源环境信息化建设提高地质调查能力和科技水平等相关支出。</w:t>
      </w:r>
    </w:p>
    <w:p>
      <w:pPr>
        <w:spacing w:before="1" w:line="227" w:lineRule="auto"/>
        <w:rPr>
          <w:rFonts w:hint="eastAsia" w:asciiTheme="minorEastAsia" w:hAnsiTheme="minorEastAsia" w:eastAsiaTheme="minorEastAsia"/>
          <w:sz w:val="32"/>
          <w:szCs w:val="32"/>
        </w:rPr>
      </w:pPr>
      <w:r>
        <w:rPr>
          <w:rFonts w:hint="eastAsia" w:asciiTheme="minorEastAsia" w:hAnsiTheme="minorEastAsia"/>
          <w:sz w:val="32"/>
          <w:szCs w:val="32"/>
          <w:lang w:eastAsia="zh-CN"/>
        </w:rPr>
        <w:t>七、</w:t>
      </w:r>
      <w:r>
        <w:rPr>
          <w:rFonts w:hint="eastAsia" w:asciiTheme="minorEastAsia" w:hAnsiTheme="minorEastAsia" w:eastAsiaTheme="minorEastAsia"/>
          <w:sz w:val="32"/>
          <w:szCs w:val="32"/>
        </w:rPr>
        <w:t>灾害防治及应急管理支出（类）自然灾害防治（款）地质灾害防治（项）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反映防治地质灾害方面的支出。</w:t>
      </w:r>
    </w:p>
    <w:p>
      <w:pPr>
        <w:widowControl/>
        <w:jc w:val="left"/>
        <w:rPr>
          <w:rFonts w:hint="eastAsia" w:eastAsiaTheme="minorEastAsia"/>
          <w:sz w:val="72"/>
          <w:szCs w:val="72"/>
          <w:lang w:eastAsia="zh-CN"/>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ind w:firstLine="2880" w:firstLineChars="400"/>
        <w:jc w:val="both"/>
        <w:rPr>
          <w:rFonts w:hint="eastAsia"/>
          <w:sz w:val="72"/>
          <w:szCs w:val="72"/>
        </w:rPr>
      </w:pPr>
    </w:p>
    <w:p>
      <w:pPr>
        <w:pStyle w:val="9"/>
        <w:ind w:firstLine="2880" w:firstLineChars="400"/>
        <w:jc w:val="both"/>
        <w:rPr>
          <w:rFonts w:hint="eastAsia"/>
          <w:sz w:val="72"/>
          <w:szCs w:val="72"/>
        </w:rPr>
      </w:pPr>
    </w:p>
    <w:p>
      <w:pPr>
        <w:pStyle w:val="9"/>
        <w:ind w:firstLine="2880" w:firstLineChars="400"/>
        <w:jc w:val="both"/>
        <w:rPr>
          <w:rFonts w:hint="eastAsia"/>
          <w:sz w:val="72"/>
          <w:szCs w:val="72"/>
        </w:rPr>
      </w:pPr>
    </w:p>
    <w:p>
      <w:pPr>
        <w:pStyle w:val="9"/>
        <w:ind w:firstLine="2880" w:firstLineChars="400"/>
        <w:jc w:val="both"/>
        <w:rPr>
          <w:rFonts w:hint="eastAsia"/>
          <w:sz w:val="72"/>
          <w:szCs w:val="72"/>
        </w:rPr>
      </w:pPr>
    </w:p>
    <w:p>
      <w:pPr>
        <w:pStyle w:val="9"/>
        <w:ind w:firstLine="2880" w:firstLineChars="400"/>
        <w:jc w:val="both"/>
        <w:rPr>
          <w:rFonts w:hint="eastAsia"/>
          <w:sz w:val="72"/>
          <w:szCs w:val="72"/>
        </w:rPr>
      </w:pPr>
    </w:p>
    <w:p>
      <w:pPr>
        <w:pStyle w:val="9"/>
        <w:ind w:firstLine="2880" w:firstLineChars="4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1446" w:firstLineChars="400"/>
        <w:rPr>
          <w:rFonts w:cs="黑体" w:asciiTheme="minorEastAsia" w:hAnsiTheme="minorEastAsia"/>
          <w:b/>
          <w:color w:val="000000"/>
          <w:kern w:val="0"/>
          <w:sz w:val="36"/>
          <w:szCs w:val="36"/>
        </w:rPr>
      </w:pPr>
      <w:r>
        <w:rPr>
          <w:rFonts w:hint="eastAsia" w:cs="黑体" w:asciiTheme="minorEastAsia" w:hAnsiTheme="minorEastAsia"/>
          <w:b/>
          <w:color w:val="000000"/>
          <w:kern w:val="0"/>
          <w:sz w:val="36"/>
          <w:szCs w:val="36"/>
        </w:rPr>
        <w:t>2021年度部门整体支出绩效评价报告</w:t>
      </w:r>
    </w:p>
    <w:p>
      <w:pPr>
        <w:ind w:firstLine="640" w:firstLineChars="200"/>
        <w:rPr>
          <w:rFonts w:ascii="黑体" w:eastAsia="黑体"/>
          <w:sz w:val="32"/>
          <w:szCs w:val="32"/>
        </w:rPr>
      </w:pPr>
      <w:r>
        <w:rPr>
          <w:rFonts w:hint="eastAsia" w:ascii="黑体" w:eastAsia="黑体"/>
          <w:sz w:val="32"/>
          <w:szCs w:val="32"/>
        </w:rPr>
        <w:t>一、单位基本情况</w:t>
      </w:r>
    </w:p>
    <w:p>
      <w:pPr>
        <w:ind w:firstLine="640" w:firstLineChars="200"/>
        <w:rPr>
          <w:rFonts w:ascii="黑体" w:eastAsia="黑体"/>
          <w:sz w:val="32"/>
          <w:szCs w:val="32"/>
        </w:rPr>
      </w:pPr>
      <w:r>
        <w:rPr>
          <w:rFonts w:hint="eastAsia" w:ascii="黑体" w:eastAsia="黑体"/>
          <w:sz w:val="32"/>
          <w:szCs w:val="32"/>
        </w:rPr>
        <w:t>（一）主要职能</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单位为湖南省地质院所属二级预算单位，为财政补助事业单位。主要职责为国家建设提供地质勘探服务，地下水资源调查，区域工程地质调查，生态环境地质调查，地质灾害勘察与监测，专业地质技术研究开发，地质灾害防治工程设计与监理建筑基桩工程施工等。</w:t>
      </w:r>
    </w:p>
    <w:p>
      <w:pPr>
        <w:ind w:firstLine="640" w:firstLineChars="200"/>
        <w:rPr>
          <w:rFonts w:ascii="黑体" w:eastAsia="黑体"/>
          <w:sz w:val="32"/>
          <w:szCs w:val="32"/>
        </w:rPr>
      </w:pPr>
      <w:r>
        <w:rPr>
          <w:rFonts w:hint="eastAsia" w:ascii="黑体" w:eastAsia="黑体"/>
          <w:sz w:val="32"/>
          <w:szCs w:val="32"/>
        </w:rPr>
        <w:t>（二）人员情况及资产情况</w:t>
      </w:r>
    </w:p>
    <w:p>
      <w:pPr>
        <w:ind w:firstLine="640" w:firstLineChars="200"/>
        <w:rPr>
          <w:rFonts w:ascii="仿宋" w:hAnsi="仿宋" w:eastAsia="仿宋"/>
          <w:sz w:val="32"/>
          <w:szCs w:val="32"/>
        </w:rPr>
      </w:pPr>
      <w:r>
        <w:rPr>
          <w:rFonts w:hint="eastAsia" w:cs="黑体" w:asciiTheme="minorEastAsia" w:hAnsiTheme="minorEastAsia"/>
          <w:color w:val="000000"/>
          <w:kern w:val="0"/>
          <w:sz w:val="32"/>
          <w:szCs w:val="32"/>
        </w:rPr>
        <w:t>2021年末我单位事业编制325人，在职职工202人。资产总计5773.01万元，其中固定资产2823.81万元，负债1106.83万元，净资产4666.18万元。</w:t>
      </w:r>
    </w:p>
    <w:p>
      <w:pPr>
        <w:ind w:firstLine="640" w:firstLineChars="200"/>
        <w:rPr>
          <w:rFonts w:ascii="黑体" w:eastAsia="黑体"/>
          <w:sz w:val="32"/>
          <w:szCs w:val="32"/>
        </w:rPr>
      </w:pPr>
      <w:r>
        <w:rPr>
          <w:rFonts w:hint="eastAsia" w:ascii="黑体" w:eastAsia="黑体"/>
          <w:sz w:val="32"/>
          <w:szCs w:val="32"/>
        </w:rPr>
        <w:t>（三）机构设置</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单位的机关部门：行政办公室、党委办公室、资产财务科、劳动人事科、审计科、经营管理科、安全科、纪检监察室、物质设备科、离退休办、工会委员会、团委、后勤管理中心，业务部门：地勘公司和地勘院。</w:t>
      </w:r>
    </w:p>
    <w:p>
      <w:pPr>
        <w:widowControl/>
        <w:spacing w:line="600" w:lineRule="exact"/>
        <w:ind w:firstLine="640" w:firstLineChars="200"/>
        <w:rPr>
          <w:rFonts w:eastAsia="黑体"/>
          <w:sz w:val="32"/>
          <w:szCs w:val="32"/>
        </w:rPr>
      </w:pPr>
      <w:r>
        <w:rPr>
          <w:rFonts w:hint="eastAsia" w:eastAsia="黑体"/>
          <w:sz w:val="32"/>
          <w:szCs w:val="32"/>
        </w:rPr>
        <w:t>二、一般公共预算支出情况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2021年年初预算2056.62万元，上年结转235.93万元，本年追加预算435.96万元，结转下年财政拨款181.7万元（未完工地灾项目）。</w:t>
      </w:r>
    </w:p>
    <w:p>
      <w:pPr>
        <w:widowControl/>
        <w:spacing w:line="600" w:lineRule="exact"/>
        <w:ind w:firstLine="630" w:firstLineChars="196"/>
        <w:rPr>
          <w:rFonts w:ascii="楷体_GB2312" w:eastAsia="楷体_GB2312"/>
          <w:b/>
          <w:sz w:val="32"/>
          <w:szCs w:val="32"/>
        </w:rPr>
      </w:pPr>
    </w:p>
    <w:p>
      <w:pPr>
        <w:widowControl/>
        <w:spacing w:line="600" w:lineRule="exact"/>
        <w:ind w:firstLine="630" w:firstLineChars="196"/>
        <w:rPr>
          <w:rFonts w:ascii="楷体_GB2312" w:eastAsia="楷体_GB2312"/>
          <w:b/>
          <w:sz w:val="32"/>
          <w:szCs w:val="32"/>
        </w:rPr>
      </w:pPr>
      <w:r>
        <w:rPr>
          <w:rFonts w:hint="eastAsia" w:ascii="楷体_GB2312" w:eastAsia="楷体_GB2312"/>
          <w:b/>
          <w:sz w:val="32"/>
          <w:szCs w:val="32"/>
        </w:rPr>
        <w:t>（一）基本支出情况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2021年基本支出2056.62万元，其中工资福利支出1827.15万元，商品和服务支出118.5万元，对个人和家庭的补助110.97万元。</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工资福利支出明细：基本工资1065.73万元、津贴补贴28.8万元、绩效工资82.2万元、养老金282.41万元、医疗金146.76万元、其他社保支出26.25万元、住房公积金195万元。</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商品服务支出明细：办公费7万元、水费5.06万元、电费25万元、邮电费1万元、物业管理费4.6万元、差旅费21.16万元、维修费6万元、培训费8万元、工会经费9万元、福利费23万元、其他交通费2万元、其他6.68万元。</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对个人和家庭的补助：抚恤金32.82万元、生活补助52.77万元、医疗费补助5.43万元、奖励金19.94万元。</w:t>
      </w:r>
    </w:p>
    <w:p>
      <w:pPr>
        <w:widowControl/>
        <w:spacing w:line="600" w:lineRule="exact"/>
        <w:ind w:firstLine="630" w:firstLineChars="196"/>
        <w:rPr>
          <w:rFonts w:ascii="楷体_GB2312" w:eastAsia="楷体_GB2312"/>
          <w:b/>
          <w:sz w:val="32"/>
          <w:szCs w:val="32"/>
        </w:rPr>
      </w:pPr>
      <w:r>
        <w:rPr>
          <w:rFonts w:hint="eastAsia" w:ascii="楷体_GB2312" w:eastAsia="楷体_GB2312"/>
          <w:b/>
          <w:sz w:val="32"/>
          <w:szCs w:val="32"/>
        </w:rPr>
        <w:t>（二）项目支出情况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1、2021年矿产资源国情调查项目本年支出88.66万元，此项目已完成野外调查、报告编制和评审工作，后阶段主要是完善补充调查内容，修改报告，图件格式转换、数据建设工作。</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自然灾害防治体系建设项目（芷江县、衡山县1:1万地质灾害项目）本年支出254.22万元，该项目2020年至2021年共收到拨款440万元，支出258.3万元，结转至下年拨款181.7万元，芷江县、衡山县项目总面积3030.98平方米千米，涉及30个乡镇，目前已完成17个乡镇的调查，约57%。</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3、地勘单位改革专项补助资金本年支出147.3万元，用于基地改造和解决改革遗留的相关问题。</w:t>
      </w:r>
    </w:p>
    <w:p>
      <w:pPr>
        <w:widowControl/>
        <w:spacing w:line="600" w:lineRule="exact"/>
        <w:ind w:firstLine="640" w:firstLineChars="200"/>
        <w:jc w:val="left"/>
        <w:rPr>
          <w:rFonts w:eastAsia="黑体"/>
          <w:sz w:val="32"/>
          <w:szCs w:val="32"/>
        </w:rPr>
      </w:pPr>
      <w:r>
        <w:rPr>
          <w:rFonts w:hint="eastAsia" w:eastAsia="黑体"/>
          <w:sz w:val="32"/>
          <w:szCs w:val="32"/>
        </w:rPr>
        <w:t>三、政府性基金预算支出情况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本单位无政府性基金预算支出</w:t>
      </w:r>
    </w:p>
    <w:p>
      <w:pPr>
        <w:widowControl/>
        <w:spacing w:line="600" w:lineRule="exact"/>
        <w:ind w:firstLine="640" w:firstLineChars="200"/>
        <w:jc w:val="left"/>
        <w:rPr>
          <w:rFonts w:eastAsia="黑体"/>
          <w:sz w:val="32"/>
          <w:szCs w:val="32"/>
        </w:rPr>
      </w:pPr>
      <w:r>
        <w:rPr>
          <w:rFonts w:hint="eastAsia" w:eastAsia="黑体"/>
          <w:sz w:val="32"/>
          <w:szCs w:val="32"/>
        </w:rPr>
        <w:t>四、国有资本经营预算支出情况</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本单位无国有资本经营预算支出</w:t>
      </w:r>
    </w:p>
    <w:p>
      <w:pPr>
        <w:widowControl/>
        <w:spacing w:line="600" w:lineRule="exact"/>
        <w:ind w:firstLine="640" w:firstLineChars="200"/>
        <w:jc w:val="left"/>
        <w:rPr>
          <w:rFonts w:eastAsia="黑体"/>
          <w:sz w:val="32"/>
          <w:szCs w:val="32"/>
        </w:rPr>
      </w:pPr>
      <w:r>
        <w:rPr>
          <w:rFonts w:hint="eastAsia" w:eastAsia="黑体"/>
          <w:sz w:val="32"/>
          <w:szCs w:val="32"/>
        </w:rPr>
        <w:t>五、社会保险基金预算支出情况</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本单位无社会保险基金预算支出</w:t>
      </w:r>
    </w:p>
    <w:p>
      <w:pPr>
        <w:widowControl/>
        <w:spacing w:line="600" w:lineRule="exact"/>
        <w:ind w:firstLine="640" w:firstLineChars="200"/>
        <w:jc w:val="left"/>
        <w:rPr>
          <w:rFonts w:eastAsia="黑体"/>
          <w:sz w:val="32"/>
          <w:szCs w:val="32"/>
        </w:rPr>
      </w:pPr>
      <w:r>
        <w:rPr>
          <w:rFonts w:hint="eastAsia" w:eastAsia="黑体"/>
          <w:sz w:val="32"/>
          <w:szCs w:val="32"/>
        </w:rPr>
        <w:t>六、单位整体支出绩效情况</w:t>
      </w:r>
    </w:p>
    <w:p>
      <w:pPr>
        <w:widowControl/>
        <w:spacing w:line="600" w:lineRule="exact"/>
        <w:ind w:firstLine="640" w:firstLineChars="200"/>
        <w:jc w:val="left"/>
        <w:rPr>
          <w:rFonts w:cs="黑体" w:asciiTheme="minorEastAsia" w:hAnsiTheme="minorEastAsia"/>
          <w:color w:val="000000"/>
          <w:kern w:val="0"/>
          <w:sz w:val="32"/>
          <w:szCs w:val="32"/>
        </w:rPr>
      </w:pPr>
      <w:r>
        <w:rPr>
          <w:rFonts w:eastAsia="仿宋_GB2312"/>
          <w:color w:val="000000"/>
          <w:sz w:val="32"/>
          <w:szCs w:val="32"/>
        </w:rPr>
        <w:t>（</w:t>
      </w:r>
      <w:r>
        <w:rPr>
          <w:rFonts w:cs="黑体" w:asciiTheme="minorEastAsia" w:hAnsiTheme="minorEastAsia"/>
          <w:color w:val="000000"/>
          <w:kern w:val="0"/>
          <w:sz w:val="32"/>
          <w:szCs w:val="32"/>
        </w:rPr>
        <w:t>一）单位整体情况</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单位发展稳中有进，地质勘查业继续向好，经济效益和规模取得了不错的成绩，各项事业有序发展，管理工作特别财务工作以预算为重心，以收定支，精打细算，厉行节约，严控“三公经费”，公用经费支出严格审批，不断压缩，成本控制取得良好效果。</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（二）单位整体收支情况</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全年总收入5494.69万元，其中一般公共预算拨款收入2733.78万元（含结转上年芷江县、衡山县1:1万地质灾害项目资金235.9万元，地质矿产资源调查项目资金5.3万元），经营收入2760.91万元；本年支出5245.63万元，其中基本支出2056.62万元，项目支出495.46万元，经营支出2693.55万元；结余分配67.36万元（经营结余分配），年末结转未完地灾项目拨款181.7万元。</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2021年度追加财政预算资金435.96万元，其中：地质灾害防治资金200万元，地质矿产资源与环境调查为自然资源保护利用专项经费88.66万元，地勘改革发展和解决改革遗留的相关问题资金147.3万元。</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（三）整体业务、效益和管理情况</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在湖南省地质院对我单位的坚强领导下，坚持党建引领，强化责任担当，根据全年工作目标任务完成了相关工作，围绕单位的职责和行业发展，以经济发展和管理工作为重点，各项工作取得了一定的成绩。</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1、业务工作</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（1）《银额盆地西部-北山盆地群油气地质调查蒙格地1 井》设计工作量1500m，由于甲方地质设计的原因，钻探深度达到400余米的时候就达到了地质目的，提前终孔，终孔直径95mm，通过野外验收。</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（2）《贵州威宁-水城地区页岩气地质调查井工程》（黔宁地1井）设计工作量1500m， 10月份在孔深1127-1133m处出现H2S异常，经过专家论证，结合现场情况，为了安全起见，油气中心领导决定终孔，终孔深度1133m，终孔直径95mm。</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（3）完成了2020年院科研项目《膨胀波纹管在小口径钻孔中分隔复杂地层的应用研究》报告的编写和评审。其中科研论文《120mm小口径波纹管在浙江地1井的试验应用》2021年9月刊发在《科学技术创新》。</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（4）《湖南省宁乡市人和矿区建筑砂岩矿勘查钻探工程施工项目》设计工作量500m，11月份完成5口钻井，完成工作量500m，终孔直径95mm。</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衡山县1∶10000地质灾害调查项目，项目资金244.76万元，全县面积935.32km²，12个乡镇，设计调查斜坡单元2942个，目前完成7个乡镇共计1943个，约66％，根据内业评估切坡建房复核调查14521处，完成6233处，约43％，地质灾害点应复核99处，复核72处，约73％，新增地质灾害隐患73处。</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芷江县1∶10000地质灾害调查项目，项目资金459.98万，全域面积2095.66km²，18个乡镇，设计调查斜坡单元4860个，目前完成10个乡镇共计2735个，约56％，根据内业评估切坡建房复核调查11689处，完成7062处，约60％，地质灾害点应复核198处，复核70处，约35％。</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（7）2021年矿山地质技术服务方面：主要是完成洞口等技术服务合同21个，主要为资源储量核实报告、开发利用方案、矿山地质环境综合治理方案及年报等工作。</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2、管理工作</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为了适当基层单位的发展，制度建设不断加强，根据上级相关规定，制订了符合我单位发展的制度，内控管理分别制订了综合管理、安全管理、经营管理、财务管理、人事管理等制度，加强财务管理，以预算为中心，严控支出，加大债权管理，严格控制应收账款的规模。对于每一个经济合同均实行多部门和单位领导联合审查制度，重大经济合同需征求法律顾问的意见，有效规避经营风险。人事管理工作优化实体绩效分配，有效激励实体多干事，干成事。</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加强实物资产管理，每年按时对设备清查盘点，定时按要求对设备维修保养，加大对固定资产的有效利用。</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强化安全管理，按湖南省地质院“安全月”及“三年行动方案”要求，加强安全责任与检查。</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3、效益方面</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全年对外创收2760.91万元，交纳企业所得税8.52万元，交纳增值税138.15万元。我单位安置残疾人3人，其中1人为二级伤残，各类消费扶贫和帮扶支出8.32万元，取得了良好的社会效益。我单位从事的地质灾害防治、国情调查的目标是为了改善生态环境，油气勘探也是中央的清洁能源战略发展的方向，这些主要业务的开展产生了良好的生态效益。</w:t>
      </w:r>
    </w:p>
    <w:p>
      <w:pPr>
        <w:widowControl/>
        <w:spacing w:line="600" w:lineRule="exact"/>
        <w:ind w:firstLine="640" w:firstLineChars="200"/>
        <w:jc w:val="left"/>
        <w:rPr>
          <w:rFonts w:eastAsia="黑体"/>
          <w:sz w:val="32"/>
          <w:szCs w:val="32"/>
        </w:rPr>
      </w:pPr>
      <w:r>
        <w:rPr>
          <w:rFonts w:hint="eastAsia" w:eastAsia="黑体"/>
          <w:sz w:val="32"/>
          <w:szCs w:val="32"/>
        </w:rPr>
        <w:t>七、存在的问题及原因分析</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单位整体支出符合绩效目标，整体是服务好社会，维护单位稳定，积极为社会作贡献。但在实际工作中存在问题，主要是：1、以经济效益为中心，没有更好的突出社会效益；2、以维护单位稳定为基础，事业单位机关工作人员没有体现“能者多劳，多劳多得”。主要原因：1、由于事业经费不足，需到社会中寻找更多的经济业务，导致以经济效益为中心；2、事业单位人员工作差别很大，机关管理工资根据档案工资来发放，没有体现按劳分配，工资差别较大，不利于调动机关职工的积极性。</w:t>
      </w:r>
    </w:p>
    <w:p>
      <w:pPr>
        <w:widowControl/>
        <w:spacing w:line="600" w:lineRule="exact"/>
        <w:ind w:firstLine="640" w:firstLineChars="200"/>
        <w:jc w:val="left"/>
        <w:rPr>
          <w:rFonts w:eastAsia="黑体"/>
          <w:sz w:val="32"/>
          <w:szCs w:val="32"/>
        </w:rPr>
      </w:pPr>
      <w:r>
        <w:rPr>
          <w:rFonts w:hint="eastAsia" w:eastAsia="黑体"/>
          <w:sz w:val="32"/>
          <w:szCs w:val="32"/>
        </w:rPr>
        <w:t>八、下一步改进措施</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1、单位的工作是以地勘事业的发展为目标，发展要注重经济效益、社会效益、生态效益。</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2、积极探索更加符合单位发展的收入分配方案，充分调动职工的积极性，以人为本才能使单位更好的发展。</w:t>
      </w:r>
    </w:p>
    <w:p>
      <w:pPr>
        <w:widowControl/>
        <w:spacing w:line="600" w:lineRule="exact"/>
        <w:ind w:firstLine="640" w:firstLineChars="200"/>
        <w:jc w:val="left"/>
        <w:rPr>
          <w:rFonts w:eastAsia="黑体"/>
          <w:sz w:val="32"/>
          <w:szCs w:val="32"/>
        </w:rPr>
      </w:pPr>
      <w:r>
        <w:rPr>
          <w:rFonts w:hint="eastAsia" w:eastAsia="黑体"/>
          <w:sz w:val="32"/>
          <w:szCs w:val="32"/>
        </w:rPr>
        <w:t>九、部门整体支出绩效自评结果拟应用和公开情况</w:t>
      </w:r>
    </w:p>
    <w:p>
      <w:pPr>
        <w:widowControl/>
        <w:spacing w:line="60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绩效自评结果按规定公开。</w:t>
      </w: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spacing w:afterLines="50" w:line="600" w:lineRule="exact"/>
        <w:rPr>
          <w:rFonts w:eastAsia="黑体"/>
          <w:sz w:val="32"/>
          <w:szCs w:val="32"/>
        </w:rPr>
      </w:pPr>
    </w:p>
    <w:p>
      <w:pPr>
        <w:widowControl/>
        <w:jc w:val="center"/>
        <w:rPr>
          <w:rFonts w:eastAsia="仿宋_GB2312"/>
          <w:b/>
          <w:bCs/>
          <w:kern w:val="0"/>
          <w:sz w:val="32"/>
          <w:szCs w:val="32"/>
        </w:rPr>
      </w:pPr>
      <w:r>
        <w:rPr>
          <w:rFonts w:eastAsia="仿宋_GB2312"/>
          <w:b/>
          <w:bCs/>
          <w:kern w:val="0"/>
          <w:sz w:val="32"/>
          <w:szCs w:val="32"/>
        </w:rPr>
        <w:t>202</w:t>
      </w:r>
      <w:r>
        <w:rPr>
          <w:rFonts w:hint="eastAsia" w:eastAsia="仿宋_GB2312"/>
          <w:b/>
          <w:bCs/>
          <w:kern w:val="0"/>
          <w:sz w:val="32"/>
          <w:szCs w:val="32"/>
        </w:rPr>
        <w:t>1年度单位整体支出绩效评价基础数据表</w:t>
      </w:r>
    </w:p>
    <w:tbl>
      <w:tblPr>
        <w:tblStyle w:val="5"/>
        <w:tblW w:w="9736" w:type="dxa"/>
        <w:jc w:val="center"/>
        <w:tblLayout w:type="fixed"/>
        <w:tblCellMar>
          <w:top w:w="0" w:type="dxa"/>
          <w:left w:w="108" w:type="dxa"/>
          <w:bottom w:w="0" w:type="dxa"/>
          <w:right w:w="108" w:type="dxa"/>
        </w:tblCellMar>
      </w:tblPr>
      <w:tblGrid>
        <w:gridCol w:w="3626"/>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6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jc w:val="center"/>
        </w:trPr>
        <w:tc>
          <w:tcPr>
            <w:tcW w:w="36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325</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202</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62.15%</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20年决算数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1年决算数</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themeColor="text1"/>
                <w:kern w:val="0"/>
                <w:szCs w:val="21"/>
              </w:rPr>
            </w:pPr>
            <w:r>
              <w:rPr>
                <w:rFonts w:hint="eastAsia" w:eastAsia="仿宋_GB2312"/>
                <w:color w:val="000000" w:themeColor="text1"/>
                <w:kern w:val="0"/>
                <w:szCs w:val="21"/>
              </w:rPr>
              <w:t>649.07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235.9</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495.46</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4.07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themeColor="text1"/>
                <w:kern w:val="0"/>
                <w:szCs w:val="21"/>
              </w:rPr>
            </w:pPr>
            <w:r>
              <w:rPr>
                <w:rFonts w:hint="eastAsia" w:eastAsia="仿宋_GB2312"/>
                <w:color w:val="000000" w:themeColor="text1"/>
                <w:kern w:val="0"/>
                <w:szCs w:val="21"/>
              </w:rPr>
              <w:t>235.9</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themeColor="text1"/>
                <w:kern w:val="0"/>
                <w:szCs w:val="21"/>
              </w:rPr>
            </w:pPr>
            <w:r>
              <w:rPr>
                <w:rFonts w:hint="eastAsia" w:eastAsia="仿宋_GB2312"/>
                <w:color w:val="000000" w:themeColor="text1"/>
                <w:kern w:val="0"/>
                <w:szCs w:val="21"/>
              </w:rPr>
              <w:t>259.5</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590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themeColor="text1"/>
                <w:kern w:val="0"/>
                <w:szCs w:val="21"/>
              </w:rPr>
            </w:pPr>
            <w:r>
              <w:rPr>
                <w:rFonts w:hint="eastAsia" w:eastAsia="仿宋_GB2312"/>
                <w:color w:val="000000" w:themeColor="text1"/>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themeColor="text1"/>
                <w:kern w:val="0"/>
                <w:szCs w:val="21"/>
              </w:rPr>
            </w:pPr>
            <w:r>
              <w:rPr>
                <w:rFonts w:hint="eastAsia" w:eastAsia="仿宋_GB2312"/>
                <w:color w:val="000000" w:themeColor="text1"/>
                <w:kern w:val="0"/>
                <w:szCs w:val="21"/>
              </w:rPr>
              <w:t>147.3</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ind w:firstLine="1365" w:firstLineChars="650"/>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ind w:firstLine="210" w:firstLineChars="100"/>
              <w:jc w:val="left"/>
              <w:rPr>
                <w:rFonts w:eastAsia="仿宋_GB2312"/>
                <w:kern w:val="0"/>
                <w:szCs w:val="21"/>
              </w:rPr>
            </w:pPr>
            <w:r>
              <w:rPr>
                <w:rFonts w:hint="eastAsia" w:eastAsia="仿宋_GB2312"/>
                <w:kern w:val="0"/>
                <w:szCs w:val="21"/>
              </w:rPr>
              <w:t>3、省级专项资金（一个专项一行）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55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88.66</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湘潭县、娄星区、双峰县国情调查</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55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88.66</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118.5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118.5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118.5</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kern w:val="0"/>
                <w:szCs w:val="21"/>
              </w:rPr>
              <w:t>20.77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10</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52.08</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51.22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51.22</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kern w:val="0"/>
                <w:szCs w:val="21"/>
              </w:rPr>
              <w:t>8</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8</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8</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397"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837" w:hRule="atLeast"/>
          <w:jc w:val="center"/>
        </w:trPr>
        <w:tc>
          <w:tcPr>
            <w:tcW w:w="362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eastAsia="仿宋_GB2312"/>
                <w:kern w:val="0"/>
                <w:szCs w:val="21"/>
                <w:lang w:eastAsia="zh-CN"/>
              </w:rPr>
            </w:pPr>
            <w:r>
              <w:rPr>
                <w:rFonts w:hint="eastAsia" w:eastAsia="仿宋_GB2312"/>
                <w:kern w:val="0"/>
                <w:szCs w:val="21"/>
              </w:rPr>
              <w:t>楼堂馆所控制情况</w:t>
            </w:r>
          </w:p>
          <w:p>
            <w:pPr>
              <w:widowControl/>
              <w:jc w:val="center"/>
              <w:rPr>
                <w:rFonts w:eastAsia="仿宋_GB2312"/>
                <w:kern w:val="0"/>
                <w:szCs w:val="21"/>
              </w:rPr>
            </w:pPr>
            <w:r>
              <w:rPr>
                <w:rFonts w:hint="eastAsia" w:eastAsia="仿宋_GB2312"/>
                <w:kern w:val="0"/>
                <w:szCs w:val="21"/>
              </w:rPr>
              <w:t>（</w:t>
            </w:r>
            <w:r>
              <w:rPr>
                <w:rFonts w:eastAsia="仿宋_GB2312"/>
                <w:kern w:val="0"/>
                <w:szCs w:val="21"/>
              </w:rPr>
              <w:t>202</w:t>
            </w:r>
            <w:r>
              <w:rPr>
                <w:rFonts w:hint="eastAsia" w:eastAsia="仿宋_GB2312"/>
                <w:kern w:val="0"/>
                <w:szCs w:val="21"/>
              </w:rPr>
              <w:t>1年完工项目）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hint="eastAsia" w:eastAsia="仿宋_GB2312"/>
                <w:bCs/>
                <w:kern w:val="0"/>
                <w:szCs w:val="21"/>
                <w:lang w:eastAsia="zh-CN"/>
              </w:rPr>
            </w:pPr>
            <w:r>
              <w:rPr>
                <w:rFonts w:hint="eastAsia" w:eastAsia="仿宋_GB2312"/>
                <w:bCs/>
                <w:kern w:val="0"/>
                <w:szCs w:val="21"/>
              </w:rPr>
              <w:t>批复规模</w:t>
            </w:r>
          </w:p>
          <w:p>
            <w:pPr>
              <w:widowControl/>
              <w:spacing w:line="240" w:lineRule="exact"/>
              <w:jc w:val="center"/>
              <w:rPr>
                <w:rFonts w:eastAsia="仿宋_GB2312"/>
                <w:bCs/>
                <w:kern w:val="0"/>
                <w:szCs w:val="21"/>
              </w:rPr>
            </w:pP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454" w:hRule="atLeast"/>
          <w:jc w:val="center"/>
        </w:trPr>
        <w:tc>
          <w:tcPr>
            <w:tcW w:w="362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18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0</w:t>
            </w:r>
          </w:p>
        </w:tc>
        <w:tc>
          <w:tcPr>
            <w:tcW w:w="84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112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1111"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96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863"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756" w:hRule="atLeast"/>
          <w:jc w:val="center"/>
        </w:trPr>
        <w:tc>
          <w:tcPr>
            <w:tcW w:w="3626"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严控“三公经费”，一般支出不断压缩。</w:t>
            </w:r>
          </w:p>
        </w:tc>
      </w:tr>
    </w:tbl>
    <w:p>
      <w:pPr>
        <w:widowControl/>
        <w:jc w:val="left"/>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widowControl/>
        <w:jc w:val="left"/>
        <w:rPr>
          <w:rFonts w:eastAsia="仿宋_GB2312"/>
          <w:kern w:val="0"/>
          <w:sz w:val="22"/>
        </w:rPr>
      </w:pPr>
    </w:p>
    <w:p>
      <w:pPr>
        <w:widowControl/>
        <w:spacing w:afterLines="50" w:line="400" w:lineRule="exact"/>
        <w:jc w:val="left"/>
        <w:rPr>
          <w:rFonts w:eastAsia="黑体"/>
          <w:sz w:val="32"/>
          <w:szCs w:val="32"/>
        </w:rPr>
      </w:pPr>
      <w:r>
        <w:rPr>
          <w:rFonts w:hint="eastAsia" w:eastAsia="仿宋_GB2312"/>
          <w:kern w:val="0"/>
          <w:sz w:val="22"/>
        </w:rPr>
        <w:t>填表人： 樊剑锋       填报日期：          联系电话：       单位负责人签字：</w:t>
      </w:r>
      <w:r>
        <w:rPr>
          <w:rFonts w:eastAsia="仿宋_GB2312"/>
          <w:kern w:val="0"/>
          <w:sz w:val="22"/>
        </w:rPr>
        <w:br w:type="page"/>
      </w:r>
    </w:p>
    <w:p>
      <w:pPr>
        <w:widowControl/>
        <w:spacing w:afterLines="50" w:line="400" w:lineRule="exact"/>
        <w:jc w:val="center"/>
        <w:rPr>
          <w:rFonts w:eastAsia="方正小标宋_GBK"/>
          <w:color w:val="000000"/>
          <w:kern w:val="0"/>
          <w:sz w:val="36"/>
          <w:szCs w:val="36"/>
        </w:rPr>
        <w:sectPr>
          <w:pgSz w:w="11906" w:h="16838"/>
          <w:pgMar w:top="1440" w:right="1800" w:bottom="1440" w:left="1800" w:header="851" w:footer="992" w:gutter="0"/>
          <w:cols w:space="425" w:num="1"/>
          <w:docGrid w:type="lines" w:linePitch="312" w:charSpace="0"/>
        </w:sectPr>
      </w:pPr>
    </w:p>
    <w:p>
      <w:pPr>
        <w:widowControl/>
        <w:spacing w:afterLines="50" w:line="400" w:lineRule="exact"/>
        <w:jc w:val="center"/>
        <w:rPr>
          <w:rFonts w:eastAsia="仿宋_GB2312"/>
          <w:b/>
          <w:bCs/>
          <w:kern w:val="0"/>
          <w:sz w:val="32"/>
          <w:szCs w:val="32"/>
        </w:rPr>
      </w:pPr>
      <w:r>
        <w:rPr>
          <w:rFonts w:eastAsia="仿宋_GB2312"/>
          <w:b/>
          <w:bCs/>
          <w:kern w:val="0"/>
          <w:sz w:val="32"/>
          <w:szCs w:val="32"/>
        </w:rPr>
        <w:t>202</w:t>
      </w:r>
      <w:r>
        <w:rPr>
          <w:rFonts w:hint="eastAsia" w:eastAsia="仿宋_GB2312"/>
          <w:b/>
          <w:bCs/>
          <w:kern w:val="0"/>
          <w:sz w:val="32"/>
          <w:szCs w:val="32"/>
        </w:rPr>
        <w:t>1年度单位整体支出绩效自评表</w:t>
      </w:r>
    </w:p>
    <w:tbl>
      <w:tblPr>
        <w:tblStyle w:val="5"/>
        <w:tblW w:w="9993" w:type="dxa"/>
        <w:jc w:val="center"/>
        <w:tblLayout w:type="autofit"/>
        <w:tblCellMar>
          <w:top w:w="0" w:type="dxa"/>
          <w:left w:w="108" w:type="dxa"/>
          <w:bottom w:w="0" w:type="dxa"/>
          <w:right w:w="108" w:type="dxa"/>
        </w:tblCellMar>
      </w:tblPr>
      <w:tblGrid>
        <w:gridCol w:w="983"/>
        <w:gridCol w:w="992"/>
        <w:gridCol w:w="851"/>
        <w:gridCol w:w="1543"/>
        <w:gridCol w:w="161"/>
        <w:gridCol w:w="1134"/>
        <w:gridCol w:w="1276"/>
        <w:gridCol w:w="709"/>
        <w:gridCol w:w="992"/>
        <w:gridCol w:w="1352"/>
      </w:tblGrid>
      <w:tr>
        <w:tblPrEx>
          <w:tblCellMar>
            <w:top w:w="0" w:type="dxa"/>
            <w:left w:w="108" w:type="dxa"/>
            <w:bottom w:w="0" w:type="dxa"/>
            <w:right w:w="108" w:type="dxa"/>
          </w:tblCellMar>
        </w:tblPrEx>
        <w:trPr>
          <w:jc w:val="center"/>
        </w:trPr>
        <w:tc>
          <w:tcPr>
            <w:tcW w:w="9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省级预算部门名称</w:t>
            </w:r>
          </w:p>
        </w:tc>
        <w:tc>
          <w:tcPr>
            <w:tcW w:w="9010"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　湖南省煤田地质局第六勘探队</w:t>
            </w:r>
          </w:p>
        </w:tc>
      </w:tr>
      <w:tr>
        <w:tblPrEx>
          <w:tblCellMar>
            <w:top w:w="0" w:type="dxa"/>
            <w:left w:w="108" w:type="dxa"/>
            <w:bottom w:w="0" w:type="dxa"/>
            <w:right w:w="108" w:type="dxa"/>
          </w:tblCellMar>
        </w:tblPrEx>
        <w:trPr>
          <w:jc w:val="center"/>
        </w:trPr>
        <w:tc>
          <w:tcPr>
            <w:tcW w:w="983"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年度预</w:t>
            </w:r>
          </w:p>
          <w:p>
            <w:pPr>
              <w:widowControl/>
              <w:spacing w:line="240" w:lineRule="exact"/>
              <w:jc w:val="center"/>
              <w:rPr>
                <w:rFonts w:hint="eastAsia" w:eastAsia="仿宋_GB2312"/>
                <w:color w:val="000000" w:themeColor="text1"/>
                <w:kern w:val="0"/>
                <w:szCs w:val="21"/>
                <w:lang w:eastAsia="zh-CN"/>
              </w:rPr>
            </w:pPr>
            <w:r>
              <w:rPr>
                <w:rFonts w:hint="eastAsia" w:eastAsia="仿宋_GB2312"/>
                <w:color w:val="000000" w:themeColor="text1"/>
                <w:kern w:val="0"/>
                <w:szCs w:val="21"/>
              </w:rPr>
              <w:t>算申请</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（万元）</w:t>
            </w:r>
          </w:p>
        </w:tc>
        <w:tc>
          <w:tcPr>
            <w:tcW w:w="1843" w:type="dxa"/>
            <w:gridSpan w:val="2"/>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1543"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年初</w:t>
            </w:r>
          </w:p>
          <w:p>
            <w:pPr>
              <w:spacing w:line="240" w:lineRule="exact"/>
              <w:jc w:val="center"/>
              <w:rPr>
                <w:rFonts w:eastAsia="仿宋_GB2312"/>
                <w:color w:val="000000" w:themeColor="text1"/>
                <w:szCs w:val="21"/>
              </w:rPr>
            </w:pPr>
            <w:r>
              <w:rPr>
                <w:rFonts w:hint="eastAsia" w:eastAsia="仿宋_GB2312"/>
                <w:color w:val="000000" w:themeColor="text1"/>
                <w:szCs w:val="21"/>
              </w:rPr>
              <w:t>预算数</w:t>
            </w:r>
          </w:p>
        </w:tc>
        <w:tc>
          <w:tcPr>
            <w:tcW w:w="1295" w:type="dxa"/>
            <w:gridSpan w:val="2"/>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全年预算数</w:t>
            </w:r>
          </w:p>
        </w:tc>
        <w:tc>
          <w:tcPr>
            <w:tcW w:w="1276"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全年执行数</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分值</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执行率</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得分</w:t>
            </w:r>
          </w:p>
        </w:tc>
      </w:tr>
      <w:tr>
        <w:tblPrEx>
          <w:tblCellMar>
            <w:top w:w="0" w:type="dxa"/>
            <w:left w:w="108" w:type="dxa"/>
            <w:bottom w:w="0" w:type="dxa"/>
            <w:right w:w="108" w:type="dxa"/>
          </w:tblCellMar>
        </w:tblPrEx>
        <w:trPr>
          <w:jc w:val="center"/>
        </w:trPr>
        <w:tc>
          <w:tcPr>
            <w:tcW w:w="983" w:type="dxa"/>
            <w:vMerge w:val="continue"/>
            <w:tcBorders>
              <w:top w:val="nil"/>
              <w:left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843" w:type="dxa"/>
            <w:gridSpan w:val="2"/>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kern w:val="0"/>
                <w:szCs w:val="21"/>
              </w:rPr>
              <w:t>年度资金总额</w:t>
            </w:r>
          </w:p>
        </w:tc>
        <w:tc>
          <w:tcPr>
            <w:tcW w:w="1543"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3593.03</w:t>
            </w:r>
          </w:p>
        </w:tc>
        <w:tc>
          <w:tcPr>
            <w:tcW w:w="1295" w:type="dxa"/>
            <w:gridSpan w:val="2"/>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5494.69</w:t>
            </w:r>
          </w:p>
        </w:tc>
        <w:tc>
          <w:tcPr>
            <w:tcW w:w="1276"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5245.63</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eastAsia="仿宋_GB2312"/>
                <w:color w:val="000000" w:themeColor="text1"/>
                <w:szCs w:val="21"/>
              </w:rPr>
              <w:t>10</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95.47%</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9.55</w:t>
            </w: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4681"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按收入性质分：</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按支出性质分：</w:t>
            </w: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4681"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其中：一般公共预算：2733.78</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其中：基本支出：2056.62</w:t>
            </w: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4681"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政府性基金拨款：0</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项目支出：495.46</w:t>
            </w: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4681"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纳入专户管理的非税收入拨款：0</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经营支出：2693.55</w:t>
            </w:r>
          </w:p>
        </w:tc>
      </w:tr>
      <w:tr>
        <w:tblPrEx>
          <w:tblCellMar>
            <w:top w:w="0" w:type="dxa"/>
            <w:left w:w="108" w:type="dxa"/>
            <w:bottom w:w="0" w:type="dxa"/>
            <w:right w:w="108" w:type="dxa"/>
          </w:tblCellMar>
        </w:tblPrEx>
        <w:trPr>
          <w:jc w:val="center"/>
        </w:trPr>
        <w:tc>
          <w:tcPr>
            <w:tcW w:w="983"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4681"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其他资金：2760.91</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年度总体目标</w:t>
            </w:r>
          </w:p>
        </w:tc>
        <w:tc>
          <w:tcPr>
            <w:tcW w:w="4681"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预期目标</w:t>
            </w:r>
          </w:p>
        </w:tc>
        <w:tc>
          <w:tcPr>
            <w:tcW w:w="432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实际完成情况　</w:t>
            </w:r>
          </w:p>
        </w:tc>
      </w:tr>
      <w:tr>
        <w:tblPrEx>
          <w:tblCellMar>
            <w:top w:w="0" w:type="dxa"/>
            <w:left w:w="108" w:type="dxa"/>
            <w:bottom w:w="0" w:type="dxa"/>
            <w:right w:w="108" w:type="dxa"/>
          </w:tblCellMar>
        </w:tblPrEx>
        <w:trPr>
          <w:jc w:val="center"/>
        </w:trPr>
        <w:tc>
          <w:tcPr>
            <w:tcW w:w="983"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4681"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　　为国家能源勘探提供服务，经济和职工收入稳步增长，队伍和谐稳定。</w:t>
            </w:r>
          </w:p>
        </w:tc>
        <w:tc>
          <w:tcPr>
            <w:tcW w:w="432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完成了能源勘探的目标工作，经济和职工收入稳步增长，队伍和谐稳定。</w:t>
            </w:r>
          </w:p>
        </w:tc>
      </w:tr>
      <w:tr>
        <w:tblPrEx>
          <w:tblCellMar>
            <w:top w:w="0" w:type="dxa"/>
            <w:left w:w="108" w:type="dxa"/>
            <w:bottom w:w="0" w:type="dxa"/>
            <w:right w:w="108" w:type="dxa"/>
          </w:tblCellMar>
        </w:tblPrEx>
        <w:trPr>
          <w:jc w:val="center"/>
        </w:trPr>
        <w:tc>
          <w:tcPr>
            <w:tcW w:w="983"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绩</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效</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指</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标</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一级指标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二级指标</w:t>
            </w: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三级指标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年度</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指标值</w:t>
            </w:r>
          </w:p>
        </w:tc>
        <w:tc>
          <w:tcPr>
            <w:tcW w:w="1276" w:type="dxa"/>
            <w:tcBorders>
              <w:top w:val="nil"/>
              <w:left w:val="nil"/>
              <w:bottom w:val="single" w:color="auto" w:sz="4" w:space="0"/>
              <w:right w:val="single" w:color="auto" w:sz="4" w:space="0"/>
            </w:tcBorders>
            <w:vAlign w:val="center"/>
          </w:tcPr>
          <w:p>
            <w:pPr>
              <w:widowControl/>
              <w:spacing w:line="240" w:lineRule="exact"/>
              <w:rPr>
                <w:rFonts w:eastAsia="仿宋_GB2312"/>
                <w:color w:val="000000" w:themeColor="text1"/>
                <w:kern w:val="0"/>
                <w:szCs w:val="21"/>
              </w:rPr>
            </w:pPr>
            <w:r>
              <w:rPr>
                <w:rFonts w:hint="eastAsia" w:eastAsia="仿宋_GB2312"/>
                <w:color w:val="000000" w:themeColor="text1"/>
                <w:kern w:val="0"/>
                <w:szCs w:val="21"/>
              </w:rPr>
              <w:t>实际完成值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分值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得分</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偏差原因</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分析及</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改进措施</w:t>
            </w: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产出指标</w:t>
            </w:r>
          </w:p>
          <w:p>
            <w:pPr>
              <w:widowControl/>
              <w:spacing w:line="240" w:lineRule="exact"/>
              <w:jc w:val="center"/>
              <w:rPr>
                <w:rFonts w:eastAsia="仿宋_GB2312"/>
                <w:color w:val="000000" w:themeColor="text1"/>
                <w:kern w:val="0"/>
                <w:szCs w:val="21"/>
              </w:rPr>
            </w:pPr>
          </w:p>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(50</w:t>
            </w:r>
            <w:r>
              <w:rPr>
                <w:rFonts w:hint="eastAsia" w:eastAsia="仿宋_GB2312"/>
                <w:color w:val="000000" w:themeColor="text1"/>
                <w:kern w:val="0"/>
                <w:szCs w:val="21"/>
              </w:rPr>
              <w:t>分</w:t>
            </w:r>
            <w:r>
              <w:rPr>
                <w:rFonts w:eastAsia="仿宋_GB2312"/>
                <w:color w:val="000000" w:themeColor="text1"/>
                <w:kern w:val="0"/>
                <w:szCs w:val="21"/>
              </w:rPr>
              <w:t>)</w:t>
            </w:r>
          </w:p>
        </w:tc>
        <w:tc>
          <w:tcPr>
            <w:tcW w:w="851"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数量指标</w:t>
            </w: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经营收入</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1300.51万元</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2760.91  万元</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top w:val="single" w:color="auto" w:sz="6" w:space="0"/>
              <w:left w:val="nil"/>
              <w:bottom w:val="single" w:color="auto" w:sz="4" w:space="0"/>
              <w:right w:val="single" w:color="auto" w:sz="4" w:space="0"/>
            </w:tcBorders>
            <w:vAlign w:val="center"/>
          </w:tcPr>
          <w:p>
            <w:pPr>
              <w:spacing w:line="240" w:lineRule="exact"/>
              <w:jc w:val="center"/>
              <w:rPr>
                <w:rFonts w:eastAsia="仿宋_GB2312"/>
                <w:color w:val="000000" w:themeColor="text1"/>
                <w:kern w:val="0"/>
                <w:szCs w:val="21"/>
              </w:rPr>
            </w:pP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资源报告</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20个</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21个</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restart"/>
            <w:tcBorders>
              <w:top w:val="single" w:color="auto" w:sz="6"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质量指标</w:t>
            </w: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技术报告</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合格</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合格以上</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top w:val="single" w:color="auto" w:sz="6" w:space="0"/>
              <w:left w:val="nil"/>
              <w:bottom w:val="single" w:color="auto" w:sz="4" w:space="0"/>
              <w:right w:val="single" w:color="auto" w:sz="4" w:space="0"/>
            </w:tcBorders>
            <w:vAlign w:val="center"/>
          </w:tcPr>
          <w:p>
            <w:pPr>
              <w:spacing w:line="240" w:lineRule="exact"/>
              <w:jc w:val="center"/>
              <w:rPr>
                <w:rFonts w:eastAsia="仿宋_GB2312"/>
                <w:color w:val="000000" w:themeColor="text1"/>
                <w:kern w:val="0"/>
                <w:szCs w:val="21"/>
              </w:rPr>
            </w:pP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钻孔质量</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合格</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良好以上</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restart"/>
            <w:tcBorders>
              <w:top w:val="single" w:color="auto" w:sz="6"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时效指标</w:t>
            </w: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技术报告</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按时完成</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按时完成</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top w:val="single" w:color="auto" w:sz="6" w:space="0"/>
              <w:left w:val="nil"/>
              <w:bottom w:val="single" w:color="auto" w:sz="4" w:space="0"/>
              <w:right w:val="single" w:color="auto" w:sz="4" w:space="0"/>
            </w:tcBorders>
            <w:vAlign w:val="center"/>
          </w:tcPr>
          <w:p>
            <w:pPr>
              <w:spacing w:line="240" w:lineRule="exact"/>
              <w:jc w:val="center"/>
              <w:rPr>
                <w:rFonts w:eastAsia="仿宋_GB2312"/>
                <w:color w:val="000000" w:themeColor="text1"/>
                <w:kern w:val="0"/>
                <w:szCs w:val="21"/>
              </w:rPr>
            </w:pP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地质钻孔</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按进度</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按进度完成</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restart"/>
            <w:tcBorders>
              <w:top w:val="single" w:color="auto" w:sz="6"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成本指标</w:t>
            </w: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经营成本</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ascii="仿宋" w:hAnsi="仿宋" w:eastAsia="仿宋"/>
                <w:color w:val="000000" w:themeColor="text1"/>
                <w:kern w:val="0"/>
                <w:szCs w:val="21"/>
              </w:rPr>
              <w:t>≤</w:t>
            </w:r>
            <w:r>
              <w:rPr>
                <w:rFonts w:hint="eastAsia" w:eastAsia="仿宋_GB2312"/>
                <w:color w:val="000000" w:themeColor="text1"/>
                <w:kern w:val="0"/>
                <w:szCs w:val="21"/>
              </w:rPr>
              <w:t>95%</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97.56%</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10</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9</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851" w:type="dxa"/>
            <w:vMerge w:val="continue"/>
            <w:tcBorders>
              <w:top w:val="single" w:color="auto" w:sz="6" w:space="0"/>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三公经费</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ascii="仿宋" w:hAnsi="仿宋" w:eastAsia="仿宋"/>
                <w:color w:val="000000" w:themeColor="text1"/>
                <w:kern w:val="0"/>
                <w:szCs w:val="21"/>
              </w:rPr>
              <w:t>零增长</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零增长</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10</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10</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trHeight w:val="480" w:hRule="atLeast"/>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效益指标</w:t>
            </w:r>
          </w:p>
          <w:p>
            <w:pPr>
              <w:widowControl/>
              <w:spacing w:line="240" w:lineRule="exact"/>
              <w:jc w:val="center"/>
              <w:rPr>
                <w:rFonts w:eastAsia="仿宋_GB2312"/>
                <w:color w:val="000000" w:themeColor="text1"/>
                <w:kern w:val="0"/>
                <w:szCs w:val="21"/>
              </w:rPr>
            </w:pP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w:t>
            </w:r>
            <w:r>
              <w:rPr>
                <w:rFonts w:eastAsia="仿宋_GB2312"/>
                <w:color w:val="000000" w:themeColor="text1"/>
                <w:kern w:val="0"/>
                <w:szCs w:val="21"/>
              </w:rPr>
              <w:t>30</w:t>
            </w:r>
            <w:r>
              <w:rPr>
                <w:rFonts w:hint="eastAsia" w:eastAsia="仿宋_GB2312"/>
                <w:color w:val="000000" w:themeColor="text1"/>
                <w:kern w:val="0"/>
                <w:szCs w:val="21"/>
              </w:rPr>
              <w:t>分）</w:t>
            </w:r>
          </w:p>
        </w:tc>
        <w:tc>
          <w:tcPr>
            <w:tcW w:w="851"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经济效</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益指标</w:t>
            </w:r>
          </w:p>
        </w:tc>
        <w:tc>
          <w:tcPr>
            <w:tcW w:w="1704" w:type="dxa"/>
            <w:gridSpan w:val="2"/>
            <w:tcBorders>
              <w:top w:val="single" w:color="auto" w:sz="4" w:space="0"/>
              <w:left w:val="nil"/>
              <w:bottom w:val="single" w:color="auto" w:sz="6" w:space="0"/>
              <w:right w:val="single" w:color="auto" w:sz="6" w:space="0"/>
            </w:tcBorders>
            <w:vAlign w:val="center"/>
          </w:tcPr>
          <w:p>
            <w:pPr>
              <w:spacing w:line="240" w:lineRule="exact"/>
              <w:jc w:val="center"/>
              <w:rPr>
                <w:rFonts w:eastAsia="仿宋_GB2312"/>
                <w:color w:val="FF0000"/>
                <w:kern w:val="0"/>
                <w:szCs w:val="21"/>
              </w:rPr>
            </w:pPr>
            <w:r>
              <w:rPr>
                <w:rFonts w:hint="eastAsia" w:eastAsia="仿宋_GB2312"/>
                <w:color w:val="000000" w:themeColor="text1"/>
                <w:kern w:val="0"/>
                <w:szCs w:val="21"/>
              </w:rPr>
              <w:t>经营收入增长率</w:t>
            </w:r>
          </w:p>
        </w:tc>
        <w:tc>
          <w:tcPr>
            <w:tcW w:w="1134"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eastAsia="仿宋_GB2312"/>
                <w:color w:val="000000" w:themeColor="text1"/>
                <w:kern w:val="0"/>
                <w:szCs w:val="21"/>
              </w:rPr>
            </w:pPr>
            <w:r>
              <w:rPr>
                <w:rFonts w:hint="eastAsia" w:ascii="仿宋" w:hAnsi="仿宋" w:eastAsia="仿宋"/>
                <w:color w:val="000000" w:themeColor="text1"/>
                <w:kern w:val="0"/>
                <w:szCs w:val="21"/>
              </w:rPr>
              <w:t>≥</w:t>
            </w:r>
            <w:r>
              <w:rPr>
                <w:rFonts w:hint="eastAsia" w:eastAsia="仿宋_GB2312"/>
                <w:color w:val="000000" w:themeColor="text1"/>
                <w:kern w:val="0"/>
                <w:szCs w:val="21"/>
              </w:rPr>
              <w:t>5%</w:t>
            </w:r>
          </w:p>
        </w:tc>
        <w:tc>
          <w:tcPr>
            <w:tcW w:w="1276"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98.52%</w:t>
            </w:r>
          </w:p>
        </w:tc>
        <w:tc>
          <w:tcPr>
            <w:tcW w:w="709"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single" w:color="auto" w:sz="4" w:space="0"/>
              <w:left w:val="single" w:color="auto" w:sz="6" w:space="0"/>
              <w:bottom w:val="single" w:color="auto" w:sz="6"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704" w:type="dxa"/>
            <w:gridSpan w:val="2"/>
            <w:tcBorders>
              <w:top w:val="single" w:color="auto" w:sz="6" w:space="0"/>
              <w:left w:val="nil"/>
              <w:bottom w:val="single" w:color="auto" w:sz="4" w:space="0"/>
              <w:right w:val="single" w:color="auto" w:sz="6"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应收账款周转率</w:t>
            </w:r>
          </w:p>
        </w:tc>
        <w:tc>
          <w:tcPr>
            <w:tcW w:w="1134" w:type="dxa"/>
            <w:tcBorders>
              <w:top w:val="single" w:color="auto" w:sz="6" w:space="0"/>
              <w:left w:val="single" w:color="auto" w:sz="6" w:space="0"/>
              <w:bottom w:val="single" w:color="auto" w:sz="4" w:space="0"/>
              <w:right w:val="single" w:color="auto" w:sz="6"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3</w:t>
            </w:r>
          </w:p>
        </w:tc>
        <w:tc>
          <w:tcPr>
            <w:tcW w:w="1276" w:type="dxa"/>
            <w:tcBorders>
              <w:top w:val="single" w:color="auto" w:sz="6" w:space="0"/>
              <w:left w:val="single" w:color="auto" w:sz="6" w:space="0"/>
              <w:bottom w:val="single" w:color="auto" w:sz="4" w:space="0"/>
              <w:right w:val="single" w:color="auto" w:sz="6"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38.72</w:t>
            </w:r>
          </w:p>
        </w:tc>
        <w:tc>
          <w:tcPr>
            <w:tcW w:w="709" w:type="dxa"/>
            <w:tcBorders>
              <w:top w:val="single" w:color="auto" w:sz="6" w:space="0"/>
              <w:left w:val="single" w:color="auto" w:sz="6" w:space="0"/>
              <w:bottom w:val="single" w:color="auto" w:sz="4" w:space="0"/>
              <w:right w:val="single" w:color="auto" w:sz="6"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single" w:color="auto" w:sz="6" w:space="0"/>
              <w:left w:val="single" w:color="auto" w:sz="6" w:space="0"/>
              <w:bottom w:val="single" w:color="auto" w:sz="4" w:space="0"/>
              <w:right w:val="single" w:color="auto" w:sz="6"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single" w:color="auto" w:sz="6" w:space="0"/>
              <w:left w:val="single" w:color="auto" w:sz="6" w:space="0"/>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社会效</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益指标</w:t>
            </w:r>
          </w:p>
        </w:tc>
        <w:tc>
          <w:tcPr>
            <w:tcW w:w="1704" w:type="dxa"/>
            <w:gridSpan w:val="2"/>
            <w:vMerge w:val="restart"/>
            <w:tcBorders>
              <w:top w:val="nil"/>
              <w:left w:val="nil"/>
              <w:right w:val="single" w:color="auto" w:sz="4"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安置残疾人</w:t>
            </w:r>
          </w:p>
        </w:tc>
        <w:tc>
          <w:tcPr>
            <w:tcW w:w="1134" w:type="dxa"/>
            <w:vMerge w:val="restart"/>
            <w:tcBorders>
              <w:top w:val="nil"/>
              <w:left w:val="nil"/>
              <w:right w:val="single" w:color="auto" w:sz="4"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3人</w:t>
            </w:r>
          </w:p>
        </w:tc>
        <w:tc>
          <w:tcPr>
            <w:tcW w:w="1276" w:type="dxa"/>
            <w:vMerge w:val="restart"/>
            <w:tcBorders>
              <w:top w:val="nil"/>
              <w:left w:val="nil"/>
              <w:right w:val="single" w:color="auto" w:sz="4"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3人</w:t>
            </w:r>
          </w:p>
        </w:tc>
        <w:tc>
          <w:tcPr>
            <w:tcW w:w="709" w:type="dxa"/>
            <w:vMerge w:val="restart"/>
            <w:tcBorders>
              <w:top w:val="nil"/>
              <w:left w:val="nil"/>
              <w:right w:val="single" w:color="auto" w:sz="4"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vMerge w:val="restart"/>
            <w:tcBorders>
              <w:top w:val="nil"/>
              <w:left w:val="nil"/>
              <w:right w:val="single" w:color="auto" w:sz="4" w:space="0"/>
            </w:tcBorders>
            <w:vAlign w:val="center"/>
          </w:tcPr>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single" w:color="auto" w:sz="4" w:space="0"/>
              <w:left w:val="nil"/>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left w:val="nil"/>
              <w:right w:val="single" w:color="auto" w:sz="4" w:space="0"/>
            </w:tcBorders>
            <w:vAlign w:val="center"/>
          </w:tcPr>
          <w:p>
            <w:pPr>
              <w:spacing w:line="240" w:lineRule="exact"/>
              <w:jc w:val="center"/>
              <w:rPr>
                <w:rFonts w:eastAsia="仿宋_GB2312"/>
                <w:color w:val="000000" w:themeColor="text1"/>
                <w:kern w:val="0"/>
                <w:szCs w:val="21"/>
              </w:rPr>
            </w:pPr>
          </w:p>
        </w:tc>
        <w:tc>
          <w:tcPr>
            <w:tcW w:w="1704" w:type="dxa"/>
            <w:gridSpan w:val="2"/>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134"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FF0000"/>
                <w:kern w:val="0"/>
                <w:szCs w:val="21"/>
              </w:rPr>
            </w:pPr>
          </w:p>
        </w:tc>
        <w:tc>
          <w:tcPr>
            <w:tcW w:w="1276"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FF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704" w:type="dxa"/>
            <w:gridSpan w:val="2"/>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扶贫支出</w:t>
            </w:r>
          </w:p>
        </w:tc>
        <w:tc>
          <w:tcPr>
            <w:tcW w:w="1134"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0</w:t>
            </w:r>
          </w:p>
        </w:tc>
        <w:tc>
          <w:tcPr>
            <w:tcW w:w="1276"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8.32万元</w:t>
            </w:r>
          </w:p>
        </w:tc>
        <w:tc>
          <w:tcPr>
            <w:tcW w:w="709"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single" w:color="auto" w:sz="4" w:space="0"/>
              <w:left w:val="nil"/>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704" w:type="dxa"/>
            <w:gridSpan w:val="2"/>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134"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FF0000"/>
                <w:kern w:val="0"/>
                <w:szCs w:val="21"/>
              </w:rPr>
            </w:pPr>
          </w:p>
        </w:tc>
        <w:tc>
          <w:tcPr>
            <w:tcW w:w="1276"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FF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生态效</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益指标</w:t>
            </w: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地灾防治</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选址</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完成</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trHeight w:val="480" w:hRule="atLeast"/>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left w:val="nil"/>
              <w:right w:val="single" w:color="auto" w:sz="4" w:space="0"/>
            </w:tcBorders>
            <w:vAlign w:val="center"/>
          </w:tcPr>
          <w:p>
            <w:pPr>
              <w:spacing w:line="240" w:lineRule="exact"/>
              <w:jc w:val="left"/>
              <w:rPr>
                <w:rFonts w:eastAsia="仿宋_GB2312"/>
                <w:color w:val="000000" w:themeColor="text1"/>
                <w:kern w:val="0"/>
                <w:szCs w:val="21"/>
              </w:rPr>
            </w:pPr>
          </w:p>
        </w:tc>
        <w:tc>
          <w:tcPr>
            <w:tcW w:w="1704" w:type="dxa"/>
            <w:gridSpan w:val="2"/>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国情调查</w:t>
            </w:r>
          </w:p>
        </w:tc>
        <w:tc>
          <w:tcPr>
            <w:tcW w:w="1134" w:type="dxa"/>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完成野外工作</w:t>
            </w:r>
          </w:p>
        </w:tc>
        <w:tc>
          <w:tcPr>
            <w:tcW w:w="1276" w:type="dxa"/>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完成野外工作</w:t>
            </w:r>
          </w:p>
        </w:tc>
        <w:tc>
          <w:tcPr>
            <w:tcW w:w="709" w:type="dxa"/>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992" w:type="dxa"/>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5</w:t>
            </w:r>
          </w:p>
        </w:tc>
        <w:tc>
          <w:tcPr>
            <w:tcW w:w="1352" w:type="dxa"/>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trHeight w:val="480" w:hRule="atLeast"/>
          <w:jc w:val="center"/>
        </w:trPr>
        <w:tc>
          <w:tcPr>
            <w:tcW w:w="9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绩</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效</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指</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标</w:t>
            </w:r>
          </w:p>
        </w:tc>
        <w:tc>
          <w:tcPr>
            <w:tcW w:w="992"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　</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满意度</w:t>
            </w:r>
          </w:p>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指标</w:t>
            </w:r>
          </w:p>
          <w:p>
            <w:pPr>
              <w:spacing w:line="240" w:lineRule="exact"/>
              <w:jc w:val="center"/>
              <w:rPr>
                <w:rFonts w:eastAsia="仿宋_GB2312"/>
                <w:color w:val="000000" w:themeColor="text1"/>
                <w:kern w:val="0"/>
                <w:szCs w:val="21"/>
              </w:rPr>
            </w:pPr>
            <w:r>
              <w:rPr>
                <w:rFonts w:hint="eastAsia" w:eastAsia="仿宋_GB2312"/>
                <w:color w:val="000000" w:themeColor="text1"/>
                <w:kern w:val="0"/>
                <w:szCs w:val="21"/>
              </w:rPr>
              <w:t>（</w:t>
            </w:r>
            <w:r>
              <w:rPr>
                <w:rFonts w:eastAsia="仿宋_GB2312"/>
                <w:color w:val="000000" w:themeColor="text1"/>
                <w:kern w:val="0"/>
                <w:szCs w:val="21"/>
              </w:rPr>
              <w:t>10</w:t>
            </w:r>
            <w:r>
              <w:rPr>
                <w:rFonts w:hint="eastAsia" w:eastAsia="仿宋_GB2312"/>
                <w:color w:val="000000" w:themeColor="text1"/>
                <w:kern w:val="0"/>
                <w:szCs w:val="21"/>
              </w:rPr>
              <w:t>分）</w:t>
            </w:r>
          </w:p>
        </w:tc>
        <w:tc>
          <w:tcPr>
            <w:tcW w:w="851"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可持续影响指标</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油气资源方面</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探明油气</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达到效果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3</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trHeight w:val="270" w:hRule="atLeast"/>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single" w:color="auto" w:sz="4" w:space="0"/>
              <w:right w:val="single" w:color="auto" w:sz="4" w:space="0"/>
            </w:tcBorders>
            <w:vAlign w:val="center"/>
          </w:tcPr>
          <w:p>
            <w:pPr>
              <w:spacing w:line="240" w:lineRule="exact"/>
              <w:jc w:val="center"/>
              <w:rPr>
                <w:rFonts w:eastAsia="仿宋_GB2312"/>
                <w:color w:val="000000" w:themeColor="text1"/>
                <w:kern w:val="0"/>
                <w:szCs w:val="21"/>
              </w:rPr>
            </w:pPr>
          </w:p>
        </w:tc>
        <w:tc>
          <w:tcPr>
            <w:tcW w:w="851" w:type="dxa"/>
            <w:vMerge w:val="continue"/>
            <w:tcBorders>
              <w:left w:val="single" w:color="auto" w:sz="4" w:space="0"/>
              <w:bottom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17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地灾防治方面</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地灾防治</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按阶段完成</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3</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3</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trHeight w:val="429" w:hRule="atLeast"/>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c>
          <w:tcPr>
            <w:tcW w:w="851" w:type="dxa"/>
            <w:vMerge w:val="restart"/>
            <w:tcBorders>
              <w:top w:val="nil"/>
              <w:left w:val="nil"/>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服务对象满意度指标</w:t>
            </w: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群众满意</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满意</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满意</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2</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2</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trHeight w:val="270" w:hRule="atLeast"/>
          <w:jc w:val="center"/>
        </w:trPr>
        <w:tc>
          <w:tcPr>
            <w:tcW w:w="983"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992" w:type="dxa"/>
            <w:vMerge w:val="continue"/>
            <w:tcBorders>
              <w:left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851" w:type="dxa"/>
            <w:vMerge w:val="continue"/>
            <w:tcBorders>
              <w:left w:val="nil"/>
              <w:bottom w:val="single" w:color="auto" w:sz="4" w:space="0"/>
              <w:right w:val="single" w:color="auto" w:sz="4" w:space="0"/>
            </w:tcBorders>
            <w:vAlign w:val="center"/>
          </w:tcPr>
          <w:p>
            <w:pPr>
              <w:spacing w:line="240" w:lineRule="exact"/>
              <w:jc w:val="left"/>
              <w:rPr>
                <w:rFonts w:eastAsia="仿宋_GB2312"/>
                <w:color w:val="000000" w:themeColor="text1"/>
                <w:kern w:val="0"/>
                <w:szCs w:val="21"/>
              </w:rPr>
            </w:pPr>
          </w:p>
        </w:tc>
        <w:tc>
          <w:tcPr>
            <w:tcW w:w="1704"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客户满意</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满意</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满意</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2</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2</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eastAsia="仿宋_GB2312"/>
                <w:color w:val="000000" w:themeColor="text1"/>
                <w:kern w:val="0"/>
                <w:szCs w:val="21"/>
              </w:rPr>
            </w:pPr>
            <w:r>
              <w:rPr>
                <w:rFonts w:hint="eastAsia" w:eastAsia="仿宋_GB2312"/>
                <w:color w:val="000000" w:themeColor="text1"/>
                <w:kern w:val="0"/>
                <w:szCs w:val="21"/>
              </w:rPr>
              <w:t>总分</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rPr>
            </w:pPr>
            <w:r>
              <w:rPr>
                <w:rFonts w:eastAsia="仿宋_GB2312"/>
                <w:color w:val="000000" w:themeColor="text1"/>
                <w:kern w:val="0"/>
                <w:szCs w:val="21"/>
              </w:rPr>
              <w:t>100</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　98.55</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themeColor="text1"/>
                <w:kern w:val="0"/>
                <w:szCs w:val="21"/>
              </w:rPr>
            </w:pPr>
            <w:r>
              <w:rPr>
                <w:rFonts w:hint="eastAsia" w:eastAsia="仿宋_GB2312"/>
                <w:color w:val="000000" w:themeColor="text1"/>
                <w:kern w:val="0"/>
                <w:szCs w:val="21"/>
              </w:rPr>
              <w:t>　</w:t>
            </w:r>
          </w:p>
        </w:tc>
      </w:tr>
    </w:tbl>
    <w:p>
      <w:pPr>
        <w:widowControl/>
        <w:spacing w:line="240" w:lineRule="exact"/>
        <w:jc w:val="left"/>
        <w:rPr>
          <w:rFonts w:eastAsia="仿宋_GB2312"/>
          <w:color w:val="000000" w:themeColor="text1"/>
          <w:kern w:val="0"/>
          <w:szCs w:val="21"/>
        </w:rPr>
      </w:pPr>
    </w:p>
    <w:p>
      <w:pPr>
        <w:widowControl/>
        <w:spacing w:line="600" w:lineRule="exact"/>
        <w:ind w:firstLine="735" w:firstLineChars="350"/>
        <w:jc w:val="left"/>
        <w:rPr>
          <w:rFonts w:eastAsia="黑体"/>
          <w:sz w:val="32"/>
          <w:szCs w:val="32"/>
        </w:rPr>
      </w:pPr>
      <w:r>
        <w:rPr>
          <w:rFonts w:hint="eastAsia" w:eastAsia="仿宋_GB2312"/>
          <w:kern w:val="0"/>
          <w:szCs w:val="21"/>
        </w:rPr>
        <w:t>填表人： 樊剑锋         填报日期：              联系电话：       单位负责人签字：</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0AA05"/>
    <w:multiLevelType w:val="singleLevel"/>
    <w:tmpl w:val="B420AA05"/>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iM2E5NzMzYzhjMGI4MjdkMjY2MmZjNzViYWUyN2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93DFD"/>
    <w:rsid w:val="002E0A30"/>
    <w:rsid w:val="003130C4"/>
    <w:rsid w:val="00316C4B"/>
    <w:rsid w:val="0032192B"/>
    <w:rsid w:val="003479BD"/>
    <w:rsid w:val="0037197D"/>
    <w:rsid w:val="003768D5"/>
    <w:rsid w:val="0039680D"/>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32CAC"/>
    <w:rsid w:val="0054069E"/>
    <w:rsid w:val="00544866"/>
    <w:rsid w:val="005767CC"/>
    <w:rsid w:val="00590D9F"/>
    <w:rsid w:val="00595D26"/>
    <w:rsid w:val="005A74E6"/>
    <w:rsid w:val="005B404E"/>
    <w:rsid w:val="005D4D55"/>
    <w:rsid w:val="005E2CFB"/>
    <w:rsid w:val="005F2103"/>
    <w:rsid w:val="005F3D1C"/>
    <w:rsid w:val="0062378F"/>
    <w:rsid w:val="006239D2"/>
    <w:rsid w:val="00641842"/>
    <w:rsid w:val="00651EEC"/>
    <w:rsid w:val="00663477"/>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36CFE"/>
    <w:rsid w:val="007629FB"/>
    <w:rsid w:val="00787B42"/>
    <w:rsid w:val="007B5108"/>
    <w:rsid w:val="007C4539"/>
    <w:rsid w:val="007F3657"/>
    <w:rsid w:val="00812ED5"/>
    <w:rsid w:val="008277D9"/>
    <w:rsid w:val="0084478C"/>
    <w:rsid w:val="0086638C"/>
    <w:rsid w:val="00884CC1"/>
    <w:rsid w:val="008A2665"/>
    <w:rsid w:val="008A3E8D"/>
    <w:rsid w:val="008E7276"/>
    <w:rsid w:val="00906E2B"/>
    <w:rsid w:val="009128B4"/>
    <w:rsid w:val="009237C4"/>
    <w:rsid w:val="0093576B"/>
    <w:rsid w:val="00944C48"/>
    <w:rsid w:val="00950252"/>
    <w:rsid w:val="00967F5D"/>
    <w:rsid w:val="009A0F95"/>
    <w:rsid w:val="009B3ADF"/>
    <w:rsid w:val="009C3B52"/>
    <w:rsid w:val="009E6817"/>
    <w:rsid w:val="009E6E9A"/>
    <w:rsid w:val="00A01D2B"/>
    <w:rsid w:val="00A16661"/>
    <w:rsid w:val="00A42218"/>
    <w:rsid w:val="00A70249"/>
    <w:rsid w:val="00A70B02"/>
    <w:rsid w:val="00A71D9F"/>
    <w:rsid w:val="00A92A81"/>
    <w:rsid w:val="00A92E9F"/>
    <w:rsid w:val="00A93AE0"/>
    <w:rsid w:val="00B33BEA"/>
    <w:rsid w:val="00B57C9F"/>
    <w:rsid w:val="00B63572"/>
    <w:rsid w:val="00B845B3"/>
    <w:rsid w:val="00B85D8B"/>
    <w:rsid w:val="00BB4A40"/>
    <w:rsid w:val="00BD6C3E"/>
    <w:rsid w:val="00BE3674"/>
    <w:rsid w:val="00BE6A75"/>
    <w:rsid w:val="00C034D7"/>
    <w:rsid w:val="00C06868"/>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87F79"/>
    <w:rsid w:val="00EA2B72"/>
    <w:rsid w:val="00F36D48"/>
    <w:rsid w:val="00F4728A"/>
    <w:rsid w:val="00F74360"/>
    <w:rsid w:val="00FB462F"/>
    <w:rsid w:val="00FE16FA"/>
    <w:rsid w:val="00FE328A"/>
    <w:rsid w:val="00FE6269"/>
    <w:rsid w:val="00FF5CD6"/>
    <w:rsid w:val="02B930D0"/>
    <w:rsid w:val="02DA018C"/>
    <w:rsid w:val="06B95FCF"/>
    <w:rsid w:val="087329F2"/>
    <w:rsid w:val="08F42E96"/>
    <w:rsid w:val="09CE29A3"/>
    <w:rsid w:val="0B674467"/>
    <w:rsid w:val="0C6805B7"/>
    <w:rsid w:val="0CE90F91"/>
    <w:rsid w:val="0F3C21E5"/>
    <w:rsid w:val="10AC53B7"/>
    <w:rsid w:val="111D5E14"/>
    <w:rsid w:val="12272EED"/>
    <w:rsid w:val="12595CB5"/>
    <w:rsid w:val="126D370B"/>
    <w:rsid w:val="13390841"/>
    <w:rsid w:val="13617154"/>
    <w:rsid w:val="17BF1273"/>
    <w:rsid w:val="181C49C7"/>
    <w:rsid w:val="18EC4772"/>
    <w:rsid w:val="18F356AC"/>
    <w:rsid w:val="190F578F"/>
    <w:rsid w:val="196842EC"/>
    <w:rsid w:val="1DC1588C"/>
    <w:rsid w:val="1FCE5969"/>
    <w:rsid w:val="202E3499"/>
    <w:rsid w:val="20DA4073"/>
    <w:rsid w:val="21DA1AFF"/>
    <w:rsid w:val="2208666C"/>
    <w:rsid w:val="25C23706"/>
    <w:rsid w:val="27696AA4"/>
    <w:rsid w:val="27B30E28"/>
    <w:rsid w:val="28317055"/>
    <w:rsid w:val="2A862824"/>
    <w:rsid w:val="2B391645"/>
    <w:rsid w:val="2B571BD9"/>
    <w:rsid w:val="2CFC6DCE"/>
    <w:rsid w:val="2D766B80"/>
    <w:rsid w:val="2EE32D5C"/>
    <w:rsid w:val="325F5224"/>
    <w:rsid w:val="34160775"/>
    <w:rsid w:val="35377F9D"/>
    <w:rsid w:val="36597656"/>
    <w:rsid w:val="36743529"/>
    <w:rsid w:val="371D1E1A"/>
    <w:rsid w:val="395A55A8"/>
    <w:rsid w:val="3A2317FB"/>
    <w:rsid w:val="3A9E7716"/>
    <w:rsid w:val="3B2D2D41"/>
    <w:rsid w:val="3BA94D4D"/>
    <w:rsid w:val="3C241FBC"/>
    <w:rsid w:val="3D370518"/>
    <w:rsid w:val="3F637405"/>
    <w:rsid w:val="45B1654F"/>
    <w:rsid w:val="463833AA"/>
    <w:rsid w:val="482551A5"/>
    <w:rsid w:val="485A32FC"/>
    <w:rsid w:val="4A1E22DD"/>
    <w:rsid w:val="4AF208E0"/>
    <w:rsid w:val="4B2477C4"/>
    <w:rsid w:val="4C144D75"/>
    <w:rsid w:val="4DF135D4"/>
    <w:rsid w:val="4E2D48C4"/>
    <w:rsid w:val="504E4213"/>
    <w:rsid w:val="50CA56C8"/>
    <w:rsid w:val="50FB3529"/>
    <w:rsid w:val="527F1783"/>
    <w:rsid w:val="574202FF"/>
    <w:rsid w:val="58C46142"/>
    <w:rsid w:val="58DF68BE"/>
    <w:rsid w:val="590D6B61"/>
    <w:rsid w:val="5ABE6002"/>
    <w:rsid w:val="5B307ABF"/>
    <w:rsid w:val="5B376759"/>
    <w:rsid w:val="5BFE7EEE"/>
    <w:rsid w:val="635B50A3"/>
    <w:rsid w:val="63B7521B"/>
    <w:rsid w:val="63F32AAE"/>
    <w:rsid w:val="65107987"/>
    <w:rsid w:val="65163A10"/>
    <w:rsid w:val="6A1E6272"/>
    <w:rsid w:val="6DB85E1E"/>
    <w:rsid w:val="6EF235B1"/>
    <w:rsid w:val="706C00B7"/>
    <w:rsid w:val="71FA0721"/>
    <w:rsid w:val="73CD6141"/>
    <w:rsid w:val="73D43285"/>
    <w:rsid w:val="765053B0"/>
    <w:rsid w:val="77204910"/>
    <w:rsid w:val="777F46FA"/>
    <w:rsid w:val="77DC4DFE"/>
    <w:rsid w:val="78BA4009"/>
    <w:rsid w:val="78F42833"/>
    <w:rsid w:val="79702BDC"/>
    <w:rsid w:val="7A247B8A"/>
    <w:rsid w:val="7AC32B68"/>
    <w:rsid w:val="7F833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Workbook3.xlsx"/><Relationship Id="rId7" Type="http://schemas.openxmlformats.org/officeDocument/2006/relationships/image" Target="media/image2.emf"/><Relationship Id="rId6" Type="http://schemas.openxmlformats.org/officeDocument/2006/relationships/package" Target="embeddings/Workbook2.xlsx"/><Relationship Id="rId5" Type="http://schemas.openxmlformats.org/officeDocument/2006/relationships/image" Target="media/image1.emf"/><Relationship Id="rId4" Type="http://schemas.openxmlformats.org/officeDocument/2006/relationships/package" Target="embeddings/Workbook1.xlsx"/><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9.emf"/><Relationship Id="rId20" Type="http://schemas.openxmlformats.org/officeDocument/2006/relationships/package" Target="embeddings/Workbook9.xls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Workbook8.xlsx"/><Relationship Id="rId17" Type="http://schemas.openxmlformats.org/officeDocument/2006/relationships/image" Target="media/image7.emf"/><Relationship Id="rId16" Type="http://schemas.openxmlformats.org/officeDocument/2006/relationships/package" Target="embeddings/Workbook7.xlsx"/><Relationship Id="rId15" Type="http://schemas.openxmlformats.org/officeDocument/2006/relationships/image" Target="media/image6.emf"/><Relationship Id="rId14" Type="http://schemas.openxmlformats.org/officeDocument/2006/relationships/package" Target="embeddings/Workbook6.xlsx"/><Relationship Id="rId13" Type="http://schemas.openxmlformats.org/officeDocument/2006/relationships/image" Target="media/image5.emf"/><Relationship Id="rId12" Type="http://schemas.openxmlformats.org/officeDocument/2006/relationships/package" Target="embeddings/Workbook5.xlsx"/><Relationship Id="rId11" Type="http://schemas.openxmlformats.org/officeDocument/2006/relationships/image" Target="media/image4.emf"/><Relationship Id="rId10" Type="http://schemas.openxmlformats.org/officeDocument/2006/relationships/package" Target="embeddings/Workbook4.xls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605A-426A-4F90-9074-CCE61B3AD9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8093</Words>
  <Characters>9223</Characters>
  <Lines>69</Lines>
  <Paragraphs>19</Paragraphs>
  <TotalTime>0</TotalTime>
  <ScaleCrop>false</ScaleCrop>
  <LinksUpToDate>false</LinksUpToDate>
  <CharactersWithSpaces>9331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麻利蚂蚁</cp:lastModifiedBy>
  <cp:lastPrinted>2022-07-27T12:55:00Z</cp:lastPrinted>
  <dcterms:modified xsi:type="dcterms:W3CDTF">2023-09-26T09:11:40Z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124689BA3E244EE5909423BE1775C70D</vt:lpwstr>
  </property>
</Properties>
</file>