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2AE1D">
      <w:pPr>
        <w:keepNext w:val="0"/>
        <w:keepLines w:val="0"/>
        <w:pageBreakBefore w:val="0"/>
        <w:shd w:val="clear"/>
        <w:kinsoku/>
        <w:wordWrap/>
        <w:overflowPunct/>
        <w:topLinePunct w:val="0"/>
        <w:autoSpaceDE/>
        <w:autoSpaceDN/>
        <w:bidi w:val="0"/>
        <w:adjustRightInd/>
        <w:snapToGrid/>
        <w:spacing w:line="300" w:lineRule="atLeast"/>
        <w:textAlignment w:val="auto"/>
        <w:rPr>
          <w:rFonts w:hint="eastAsia" w:ascii="仿宋" w:hAnsi="仿宋" w:eastAsia="仿宋" w:cs="仿宋"/>
          <w:kern w:val="0"/>
          <w:sz w:val="32"/>
          <w:szCs w:val="32"/>
        </w:rPr>
      </w:pPr>
    </w:p>
    <w:p w14:paraId="1FBCA7BB">
      <w:pPr>
        <w:keepNext w:val="0"/>
        <w:keepLines w:val="0"/>
        <w:pageBreakBefore w:val="0"/>
        <w:shd w:val="clear"/>
        <w:kinsoku/>
        <w:wordWrap/>
        <w:overflowPunct/>
        <w:topLinePunct w:val="0"/>
        <w:autoSpaceDE/>
        <w:autoSpaceDN/>
        <w:bidi w:val="0"/>
        <w:adjustRightInd/>
        <w:snapToGrid/>
        <w:spacing w:line="300" w:lineRule="atLeast"/>
        <w:textAlignment w:val="auto"/>
        <w:rPr>
          <w:rFonts w:hint="eastAsia" w:ascii="仿宋" w:hAnsi="仿宋" w:eastAsia="仿宋" w:cs="仿宋"/>
          <w:kern w:val="0"/>
          <w:sz w:val="32"/>
          <w:szCs w:val="32"/>
        </w:rPr>
      </w:pPr>
    </w:p>
    <w:p w14:paraId="6421138C">
      <w:pPr>
        <w:keepNext w:val="0"/>
        <w:keepLines w:val="0"/>
        <w:pageBreakBefore w:val="0"/>
        <w:shd w:val="clear"/>
        <w:kinsoku/>
        <w:wordWrap/>
        <w:overflowPunct/>
        <w:topLinePunct w:val="0"/>
        <w:autoSpaceDE/>
        <w:autoSpaceDN/>
        <w:bidi w:val="0"/>
        <w:adjustRightInd/>
        <w:snapToGrid/>
        <w:spacing w:line="300" w:lineRule="atLeast"/>
        <w:textAlignment w:val="auto"/>
        <w:rPr>
          <w:rFonts w:hint="eastAsia" w:ascii="仿宋" w:hAnsi="仿宋" w:eastAsia="仿宋" w:cs="仿宋"/>
          <w:kern w:val="0"/>
          <w:sz w:val="32"/>
          <w:szCs w:val="32"/>
        </w:rPr>
      </w:pPr>
    </w:p>
    <w:p w14:paraId="4554AB86">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湖南省城市地质调查监测所</w:t>
      </w:r>
    </w:p>
    <w:p w14:paraId="53FD9644">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202</w:t>
      </w:r>
      <w:r>
        <w:rPr>
          <w:rFonts w:hint="eastAsia" w:ascii="宋体" w:hAnsi="宋体" w:cs="宋体"/>
          <w:sz w:val="44"/>
          <w:szCs w:val="44"/>
          <w:lang w:val="en-US" w:eastAsia="zh-CN"/>
        </w:rPr>
        <w:t>4</w:t>
      </w:r>
      <w:r>
        <w:rPr>
          <w:rFonts w:hint="eastAsia" w:ascii="宋体" w:hAnsi="宋体" w:eastAsia="宋体" w:cs="宋体"/>
          <w:sz w:val="44"/>
          <w:szCs w:val="44"/>
        </w:rPr>
        <w:t>年</w:t>
      </w:r>
      <w:r>
        <w:rPr>
          <w:rFonts w:hint="eastAsia" w:ascii="宋体" w:hAnsi="宋体" w:eastAsia="宋体" w:cs="宋体"/>
          <w:sz w:val="44"/>
          <w:szCs w:val="44"/>
          <w:lang w:eastAsia="zh-CN"/>
        </w:rPr>
        <w:t>度</w:t>
      </w:r>
      <w:r>
        <w:rPr>
          <w:rFonts w:hint="eastAsia" w:ascii="宋体" w:hAnsi="宋体" w:eastAsia="宋体" w:cs="宋体"/>
          <w:sz w:val="44"/>
          <w:szCs w:val="44"/>
        </w:rPr>
        <w:t>单位整体支出绩效自评报告</w:t>
      </w:r>
    </w:p>
    <w:p w14:paraId="22099F00">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b/>
          <w:sz w:val="32"/>
          <w:szCs w:val="32"/>
        </w:rPr>
      </w:pPr>
    </w:p>
    <w:p w14:paraId="3D231C41">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b/>
          <w:sz w:val="32"/>
          <w:szCs w:val="32"/>
        </w:rPr>
      </w:pPr>
    </w:p>
    <w:p w14:paraId="3BE194AF">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b/>
          <w:sz w:val="32"/>
          <w:szCs w:val="32"/>
        </w:rPr>
      </w:pPr>
    </w:p>
    <w:p w14:paraId="0B650E16">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b/>
          <w:sz w:val="32"/>
          <w:szCs w:val="32"/>
        </w:rPr>
      </w:pPr>
    </w:p>
    <w:p w14:paraId="22B5B7CF">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b/>
          <w:sz w:val="32"/>
          <w:szCs w:val="32"/>
        </w:rPr>
      </w:pPr>
    </w:p>
    <w:p w14:paraId="4F21F6CC">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b/>
          <w:sz w:val="32"/>
          <w:szCs w:val="32"/>
        </w:rPr>
      </w:pPr>
    </w:p>
    <w:p w14:paraId="20FA8B04">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32"/>
          <w:szCs w:val="32"/>
        </w:rPr>
      </w:pPr>
    </w:p>
    <w:p w14:paraId="5EEA98E3">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32"/>
          <w:szCs w:val="32"/>
        </w:rPr>
      </w:pPr>
    </w:p>
    <w:p w14:paraId="6DB92156">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32"/>
          <w:szCs w:val="32"/>
        </w:rPr>
      </w:pPr>
    </w:p>
    <w:p w14:paraId="29F7BCB0">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32"/>
          <w:szCs w:val="32"/>
        </w:rPr>
      </w:pPr>
    </w:p>
    <w:p w14:paraId="0FDCD24F">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32"/>
          <w:szCs w:val="32"/>
        </w:rPr>
      </w:pPr>
    </w:p>
    <w:p w14:paraId="07F269FD">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32"/>
          <w:szCs w:val="32"/>
        </w:rPr>
      </w:pPr>
    </w:p>
    <w:p w14:paraId="0808CF5A">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32"/>
          <w:szCs w:val="32"/>
          <w:u w:val="single"/>
          <w:lang w:eastAsia="zh-CN"/>
        </w:rPr>
      </w:pPr>
      <w:r>
        <w:rPr>
          <w:rFonts w:hint="eastAsia" w:ascii="仿宋" w:hAnsi="仿宋" w:eastAsia="仿宋" w:cs="仿宋"/>
          <w:sz w:val="32"/>
          <w:szCs w:val="32"/>
        </w:rPr>
        <w:t>单位名称：</w:t>
      </w:r>
      <w:r>
        <w:rPr>
          <w:rFonts w:hint="eastAsia" w:ascii="仿宋" w:hAnsi="仿宋" w:eastAsia="仿宋" w:cs="仿宋"/>
          <w:sz w:val="32"/>
          <w:szCs w:val="32"/>
          <w:u w:val="single"/>
          <w:lang w:eastAsia="zh-CN"/>
        </w:rPr>
        <w:t>湖南省城市地质调查监测所</w:t>
      </w:r>
    </w:p>
    <w:p w14:paraId="31035B32">
      <w:pPr>
        <w:keepNext w:val="0"/>
        <w:keepLines w:val="0"/>
        <w:pageBreakBefore w:val="0"/>
        <w:shd w:val="clear"/>
        <w:kinsoku/>
        <w:wordWrap/>
        <w:overflowPunct/>
        <w:topLinePunct w:val="0"/>
        <w:autoSpaceDE/>
        <w:autoSpaceDN/>
        <w:bidi w:val="0"/>
        <w:adjustRightInd/>
        <w:snapToGrid/>
        <w:spacing w:line="300" w:lineRule="atLeast"/>
        <w:ind w:firstLine="1920" w:firstLineChars="600"/>
        <w:textAlignment w:val="auto"/>
        <w:rPr>
          <w:rFonts w:hint="eastAsia" w:ascii="仿宋" w:hAnsi="仿宋" w:eastAsia="仿宋" w:cs="仿宋"/>
          <w:sz w:val="32"/>
          <w:szCs w:val="32"/>
          <w:lang w:val="en-US" w:eastAsia="zh-CN"/>
        </w:rPr>
      </w:pPr>
    </w:p>
    <w:p w14:paraId="2E4B9802">
      <w:pPr>
        <w:keepNext w:val="0"/>
        <w:keepLines w:val="0"/>
        <w:pageBreakBefore w:val="0"/>
        <w:shd w:val="clear"/>
        <w:kinsoku/>
        <w:wordWrap/>
        <w:overflowPunct/>
        <w:topLinePunct w:val="0"/>
        <w:autoSpaceDE/>
        <w:autoSpaceDN/>
        <w:bidi w:val="0"/>
        <w:adjustRightInd/>
        <w:snapToGrid/>
        <w:spacing w:line="300" w:lineRule="atLeas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bookmarkStart w:id="0" w:name="_GoBack"/>
      <w:bookmarkEnd w:id="0"/>
    </w:p>
    <w:p w14:paraId="4718C156">
      <w:pPr>
        <w:keepNext w:val="0"/>
        <w:keepLines w:val="0"/>
        <w:pageBreakBefore w:val="0"/>
        <w:shd w:val="clear"/>
        <w:kinsoku/>
        <w:wordWrap/>
        <w:overflowPunct/>
        <w:topLinePunct w:val="0"/>
        <w:autoSpaceDE/>
        <w:autoSpaceDN/>
        <w:bidi w:val="0"/>
        <w:adjustRightInd/>
        <w:snapToGrid/>
        <w:spacing w:line="300" w:lineRule="atLeast"/>
        <w:ind w:firstLine="2880" w:firstLineChars="900"/>
        <w:textAlignment w:val="auto"/>
        <w:rPr>
          <w:rFonts w:hint="eastAsia" w:ascii="仿宋" w:hAnsi="仿宋" w:eastAsia="仿宋" w:cs="仿宋"/>
          <w:sz w:val="32"/>
          <w:szCs w:val="32"/>
        </w:rPr>
      </w:pPr>
    </w:p>
    <w:p w14:paraId="30E7A461">
      <w:pPr>
        <w:keepNext w:val="0"/>
        <w:keepLines w:val="0"/>
        <w:pageBreakBefore w:val="0"/>
        <w:shd w:val="clear"/>
        <w:kinsoku/>
        <w:wordWrap/>
        <w:overflowPunct/>
        <w:topLinePunct w:val="0"/>
        <w:autoSpaceDE/>
        <w:autoSpaceDN/>
        <w:bidi w:val="0"/>
        <w:adjustRightInd/>
        <w:snapToGrid/>
        <w:spacing w:line="300" w:lineRule="atLeast"/>
        <w:jc w:val="both"/>
        <w:textAlignment w:val="auto"/>
        <w:rPr>
          <w:rFonts w:hint="eastAsia" w:ascii="仿宋" w:hAnsi="仿宋" w:eastAsia="仿宋" w:cs="仿宋"/>
          <w:sz w:val="32"/>
          <w:szCs w:val="32"/>
        </w:rPr>
      </w:pPr>
    </w:p>
    <w:p w14:paraId="2E2A9B7C">
      <w:pPr>
        <w:keepNext w:val="0"/>
        <w:keepLines w:val="0"/>
        <w:pageBreakBefore w:val="0"/>
        <w:numPr>
          <w:ilvl w:val="0"/>
          <w:numId w:val="1"/>
        </w:numPr>
        <w:shd w:val="clear"/>
        <w:kinsoku/>
        <w:wordWrap/>
        <w:overflowPunct/>
        <w:topLinePunct w:val="0"/>
        <w:autoSpaceDE/>
        <w:autoSpaceDN/>
        <w:bidi w:val="0"/>
        <w:adjustRightInd/>
        <w:snapToGrid/>
        <w:spacing w:line="300" w:lineRule="atLeas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单位基本情况</w:t>
      </w:r>
    </w:p>
    <w:p w14:paraId="68B035C1">
      <w:pPr>
        <w:keepNext w:val="0"/>
        <w:keepLines w:val="0"/>
        <w:pageBreakBefore w:val="0"/>
        <w:widowControl/>
        <w:numPr>
          <w:ilvl w:val="0"/>
          <w:numId w:val="2"/>
        </w:numPr>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b/>
          <w:bCs/>
          <w:color w:val="333333"/>
          <w:kern w:val="0"/>
          <w:sz w:val="32"/>
          <w:szCs w:val="32"/>
          <w:lang w:eastAsia="zh-CN"/>
        </w:rPr>
      </w:pPr>
      <w:r>
        <w:rPr>
          <w:rFonts w:hint="eastAsia" w:ascii="仿宋" w:hAnsi="仿宋" w:eastAsia="仿宋" w:cs="仿宋"/>
          <w:b/>
          <w:bCs/>
          <w:color w:val="333333"/>
          <w:kern w:val="0"/>
          <w:sz w:val="32"/>
          <w:szCs w:val="32"/>
          <w:lang w:eastAsia="zh-CN"/>
        </w:rPr>
        <w:t>单位简介</w:t>
      </w:r>
    </w:p>
    <w:p w14:paraId="7A565759">
      <w:pPr>
        <w:keepNext w:val="0"/>
        <w:keepLines w:val="0"/>
        <w:pageBreakBefore w:val="0"/>
        <w:widowControl/>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rPr>
        <w:t>湖南省</w:t>
      </w:r>
      <w:r>
        <w:rPr>
          <w:rFonts w:hint="eastAsia" w:ascii="仿宋" w:hAnsi="仿宋" w:eastAsia="仿宋" w:cs="仿宋"/>
          <w:color w:val="333333"/>
          <w:kern w:val="0"/>
          <w:sz w:val="32"/>
          <w:szCs w:val="32"/>
          <w:lang w:eastAsia="zh-CN"/>
        </w:rPr>
        <w:t>城市地质调查监测所（</w:t>
      </w:r>
      <w:r>
        <w:rPr>
          <w:rFonts w:hint="eastAsia" w:ascii="仿宋" w:hAnsi="仿宋" w:eastAsia="仿宋" w:cs="仿宋"/>
          <w:color w:val="333333"/>
          <w:kern w:val="0"/>
          <w:sz w:val="32"/>
          <w:szCs w:val="32"/>
          <w:lang w:val="en-US" w:eastAsia="zh-CN"/>
        </w:rPr>
        <w:t>简称“城调所”）成立于2021年11月，由原湖南省地质矿产勘查开发局403队、413队、414队合并组建而成。是隶属于湖南省地质院的公益二类事业单位。作为省地质院下属的公益二类事业单位，城调所既传承了湖南地勘系统六十余年的专业技术积淀，又创新性地拓展了服务城市发展的新型职能。重点业务包含城市地质基础调查与动态监测，为城市发展提供地质数据支撑；构建高精度城市地下三维地质模型，实现城市地下空间的数字化表达；开展城市地质调查相关的理论和技术研究等。目前城调所特色产业涵盖了城市地质调查、城市地质三维建模、城市地下空间的规划与利用、城市洪涝灾害防治、城市地下管网调查与监测、城市地下环境污染监测以及浅层地温能的开发利用等方面。</w:t>
      </w:r>
    </w:p>
    <w:p w14:paraId="6EA2788A">
      <w:pPr>
        <w:keepNext w:val="0"/>
        <w:keepLines w:val="0"/>
        <w:pageBreakBefore w:val="0"/>
        <w:widowControl/>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highlight w:val="none"/>
          <w:lang w:val="en-US" w:eastAsia="zh-CN"/>
        </w:rPr>
        <w:t>2024年，在省地质院党委、行政的坚强领导下，城调所全面贯彻省委省政府、省地质院各项决策部署精神，坚持以稳队伍、谋发展、促转型为工作主线，积极融入省院“一体两翼三支撑”战略定位和使命任务，聚焦“八大攻坚”“七个着</w:t>
      </w:r>
      <w:r>
        <w:rPr>
          <w:rFonts w:hint="eastAsia" w:ascii="仿宋" w:hAnsi="仿宋" w:eastAsia="仿宋" w:cs="仿宋"/>
          <w:color w:val="333333"/>
          <w:kern w:val="0"/>
          <w:sz w:val="32"/>
          <w:szCs w:val="32"/>
          <w:lang w:val="en-US" w:eastAsia="zh-CN"/>
        </w:rPr>
        <w:t>力”持续发力,全面推进城调所职能职责落地，有序推动内控制度的完善，实现职工队伍团结融合，各项工作取得突出成效。</w:t>
      </w:r>
    </w:p>
    <w:p w14:paraId="702A90A1">
      <w:pPr>
        <w:keepNext w:val="0"/>
        <w:keepLines w:val="0"/>
        <w:pageBreakBefore w:val="0"/>
        <w:widowControl/>
        <w:numPr>
          <w:ilvl w:val="0"/>
          <w:numId w:val="2"/>
        </w:numPr>
        <w:shd w:val="clear"/>
        <w:kinsoku/>
        <w:wordWrap/>
        <w:overflowPunct/>
        <w:topLinePunct w:val="0"/>
        <w:autoSpaceDE/>
        <w:autoSpaceDN/>
        <w:bidi w:val="0"/>
        <w:adjustRightInd/>
        <w:snapToGrid/>
        <w:spacing w:line="300" w:lineRule="atLeast"/>
        <w:ind w:left="0" w:leftChars="0" w:firstLine="560" w:firstLineChars="0"/>
        <w:textAlignment w:val="auto"/>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机构设置</w:t>
      </w:r>
    </w:p>
    <w:p w14:paraId="428974B6">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城调所内设有办公室、党群工作部等机关部室13个，城市地质大数据中心、资源勘查中心等二级实体10个。</w:t>
      </w:r>
    </w:p>
    <w:p w14:paraId="6E1FF28A">
      <w:pPr>
        <w:keepNext w:val="0"/>
        <w:keepLines w:val="0"/>
        <w:pageBreakBefore w:val="0"/>
        <w:widowControl/>
        <w:numPr>
          <w:ilvl w:val="0"/>
          <w:numId w:val="2"/>
        </w:numPr>
        <w:shd w:val="clear"/>
        <w:kinsoku/>
        <w:wordWrap/>
        <w:overflowPunct/>
        <w:topLinePunct w:val="0"/>
        <w:autoSpaceDE/>
        <w:autoSpaceDN/>
        <w:bidi w:val="0"/>
        <w:adjustRightInd/>
        <w:snapToGrid/>
        <w:spacing w:line="300" w:lineRule="atLeast"/>
        <w:ind w:left="0" w:leftChars="0" w:firstLine="560" w:firstLineChars="0"/>
        <w:textAlignment w:val="auto"/>
        <w:rPr>
          <w:rFonts w:hint="eastAsia" w:ascii="仿宋" w:hAnsi="仿宋" w:eastAsia="仿宋" w:cs="仿宋"/>
          <w:b/>
          <w:bCs/>
          <w:color w:val="333333"/>
          <w:kern w:val="0"/>
          <w:sz w:val="32"/>
          <w:szCs w:val="32"/>
          <w:lang w:eastAsia="zh-CN"/>
        </w:rPr>
      </w:pPr>
      <w:r>
        <w:rPr>
          <w:rFonts w:hint="eastAsia" w:ascii="仿宋" w:hAnsi="仿宋" w:eastAsia="仿宋" w:cs="仿宋"/>
          <w:b/>
          <w:bCs/>
          <w:color w:val="333333"/>
          <w:kern w:val="0"/>
          <w:sz w:val="32"/>
          <w:szCs w:val="32"/>
          <w:lang w:eastAsia="zh-CN"/>
        </w:rPr>
        <w:t>人员情况</w:t>
      </w:r>
    </w:p>
    <w:p w14:paraId="5D96DF41">
      <w:pPr>
        <w:keepNext w:val="0"/>
        <w:keepLines w:val="0"/>
        <w:pageBreakBefore w:val="0"/>
        <w:widowControl/>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color w:val="333333"/>
          <w:kern w:val="0"/>
          <w:sz w:val="32"/>
          <w:szCs w:val="32"/>
          <w:highlight w:val="none"/>
          <w:lang w:val="en-US" w:eastAsia="zh-CN"/>
        </w:rPr>
      </w:pPr>
      <w:r>
        <w:rPr>
          <w:rFonts w:hint="eastAsia" w:ascii="仿宋" w:hAnsi="仿宋" w:eastAsia="仿宋" w:cs="仿宋"/>
          <w:color w:val="333333"/>
          <w:kern w:val="0"/>
          <w:sz w:val="32"/>
          <w:szCs w:val="32"/>
          <w:highlight w:val="none"/>
          <w:lang w:eastAsia="zh-CN"/>
        </w:rPr>
        <w:t>截至</w:t>
      </w:r>
      <w:r>
        <w:rPr>
          <w:rFonts w:hint="eastAsia" w:ascii="仿宋" w:hAnsi="仿宋" w:eastAsia="仿宋" w:cs="仿宋"/>
          <w:color w:val="333333"/>
          <w:kern w:val="0"/>
          <w:sz w:val="32"/>
          <w:szCs w:val="32"/>
          <w:highlight w:val="none"/>
          <w:lang w:val="en-US" w:eastAsia="zh-CN"/>
        </w:rPr>
        <w:t>2024年12月31日，城调所职工总数1963人，在职在编职工770人，离休职工1人，退休职工1192人。</w:t>
      </w:r>
    </w:p>
    <w:p w14:paraId="1C98BDD2">
      <w:pPr>
        <w:keepNext w:val="0"/>
        <w:keepLines w:val="0"/>
        <w:pageBreakBefore w:val="0"/>
        <w:widowControl/>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
          <w:bCs/>
          <w:sz w:val="32"/>
          <w:szCs w:val="32"/>
        </w:rPr>
        <w:t>一般公共预算支出情况</w:t>
      </w:r>
    </w:p>
    <w:p w14:paraId="6DFB3AA6">
      <w:pPr>
        <w:keepNext w:val="0"/>
        <w:keepLines w:val="0"/>
        <w:pageBreakBefore w:val="0"/>
        <w:widowControl/>
        <w:shd w:val="clear"/>
        <w:kinsoku/>
        <w:wordWrap/>
        <w:overflowPunct/>
        <w:topLinePunct w:val="0"/>
        <w:autoSpaceDE/>
        <w:autoSpaceDN/>
        <w:bidi w:val="0"/>
        <w:adjustRightInd/>
        <w:snapToGrid/>
        <w:spacing w:line="300" w:lineRule="atLeast"/>
        <w:ind w:firstLine="627" w:firstLineChars="196"/>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城调所</w:t>
      </w:r>
      <w:r>
        <w:rPr>
          <w:rFonts w:hint="eastAsia" w:ascii="仿宋" w:hAnsi="仿宋" w:eastAsia="仿宋" w:cs="仿宋"/>
          <w:b w:val="0"/>
          <w:bCs/>
          <w:sz w:val="32"/>
          <w:szCs w:val="32"/>
        </w:rPr>
        <w:t>一般公共预算</w:t>
      </w:r>
      <w:r>
        <w:rPr>
          <w:rFonts w:hint="eastAsia" w:ascii="仿宋" w:hAnsi="仿宋" w:eastAsia="仿宋" w:cs="仿宋"/>
          <w:b w:val="0"/>
          <w:bCs/>
          <w:color w:val="auto"/>
          <w:sz w:val="32"/>
          <w:szCs w:val="32"/>
        </w:rPr>
        <w:t>支出</w:t>
      </w:r>
      <w:r>
        <w:rPr>
          <w:rFonts w:hint="eastAsia" w:ascii="仿宋" w:hAnsi="仿宋" w:eastAsia="仿宋" w:cs="仿宋"/>
          <w:b w:val="0"/>
          <w:bCs/>
          <w:color w:val="auto"/>
          <w:sz w:val="32"/>
          <w:szCs w:val="32"/>
          <w:lang w:val="en-US" w:eastAsia="zh-CN"/>
        </w:rPr>
        <w:t>16742.57</w:t>
      </w:r>
      <w:r>
        <w:rPr>
          <w:rFonts w:hint="eastAsia" w:ascii="仿宋" w:hAnsi="仿宋" w:eastAsia="仿宋" w:cs="仿宋"/>
          <w:b w:val="0"/>
          <w:bCs/>
          <w:color w:val="auto"/>
          <w:sz w:val="32"/>
          <w:szCs w:val="32"/>
        </w:rPr>
        <w:t>万</w:t>
      </w:r>
      <w:r>
        <w:rPr>
          <w:rFonts w:hint="eastAsia" w:ascii="仿宋" w:hAnsi="仿宋" w:eastAsia="仿宋" w:cs="仿宋"/>
          <w:b w:val="0"/>
          <w:bCs/>
          <w:sz w:val="32"/>
          <w:szCs w:val="32"/>
        </w:rPr>
        <w:t>元，其中：基本支出</w:t>
      </w:r>
      <w:r>
        <w:rPr>
          <w:rFonts w:hint="eastAsia" w:ascii="仿宋" w:hAnsi="仿宋" w:eastAsia="仿宋" w:cs="仿宋"/>
          <w:color w:val="auto"/>
          <w:kern w:val="0"/>
          <w:sz w:val="32"/>
          <w:szCs w:val="32"/>
          <w:lang w:val="en-US" w:eastAsia="zh-CN"/>
        </w:rPr>
        <w:t>14753.84</w:t>
      </w:r>
      <w:r>
        <w:rPr>
          <w:rFonts w:hint="eastAsia" w:ascii="仿宋" w:hAnsi="仿宋" w:eastAsia="仿宋" w:cs="仿宋"/>
          <w:b w:val="0"/>
          <w:bCs/>
          <w:sz w:val="32"/>
          <w:szCs w:val="32"/>
        </w:rPr>
        <w:t>万元，项目支出</w:t>
      </w:r>
      <w:r>
        <w:rPr>
          <w:rFonts w:hint="eastAsia" w:ascii="仿宋" w:hAnsi="仿宋" w:eastAsia="仿宋" w:cs="仿宋"/>
          <w:b w:val="0"/>
          <w:bCs/>
          <w:sz w:val="32"/>
          <w:szCs w:val="32"/>
          <w:lang w:val="en-US" w:eastAsia="zh-CN"/>
        </w:rPr>
        <w:t>1988.73</w:t>
      </w:r>
      <w:r>
        <w:rPr>
          <w:rFonts w:hint="eastAsia" w:ascii="仿宋" w:hAnsi="仿宋" w:eastAsia="仿宋" w:cs="仿宋"/>
          <w:b w:val="0"/>
          <w:bCs/>
          <w:sz w:val="32"/>
          <w:szCs w:val="32"/>
        </w:rPr>
        <w:t>万元。</w:t>
      </w:r>
    </w:p>
    <w:p w14:paraId="198225AA">
      <w:pPr>
        <w:keepNext w:val="0"/>
        <w:keepLines w:val="0"/>
        <w:pageBreakBefore w:val="0"/>
        <w:widowControl/>
        <w:shd w:val="clear"/>
        <w:kinsoku/>
        <w:wordWrap/>
        <w:overflowPunct/>
        <w:topLinePunct w:val="0"/>
        <w:autoSpaceDE/>
        <w:autoSpaceDN/>
        <w:bidi w:val="0"/>
        <w:adjustRightInd/>
        <w:snapToGrid/>
        <w:spacing w:line="300" w:lineRule="atLeas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（一）基本支出情况</w:t>
      </w:r>
    </w:p>
    <w:p w14:paraId="53DF10BD">
      <w:pPr>
        <w:keepNext w:val="0"/>
        <w:keepLines w:val="0"/>
        <w:pageBreakBefore w:val="0"/>
        <w:widowControl/>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2024年度，城调所基本支出总额为14753.84万元，其中工资福利支出12374.41万元，一般商品和服务支出264.42万元，对个人和家庭的补助支出2115.01万元。</w:t>
      </w:r>
    </w:p>
    <w:p w14:paraId="6FBB5505">
      <w:pPr>
        <w:keepNext w:val="0"/>
        <w:keepLines w:val="0"/>
        <w:pageBreakBefore w:val="0"/>
        <w:widowControl/>
        <w:shd w:val="clear"/>
        <w:kinsoku/>
        <w:wordWrap/>
        <w:overflowPunct/>
        <w:topLinePunct w:val="0"/>
        <w:autoSpaceDE/>
        <w:autoSpaceDN/>
        <w:bidi w:val="0"/>
        <w:adjustRightInd/>
        <w:snapToGrid/>
        <w:spacing w:line="300" w:lineRule="atLeas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（二）项目支出情况</w:t>
      </w:r>
    </w:p>
    <w:p w14:paraId="5B97B3F0">
      <w:pPr>
        <w:keepNext w:val="0"/>
        <w:keepLines w:val="0"/>
        <w:pageBreakBefore w:val="0"/>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333333"/>
          <w:kern w:val="0"/>
          <w:sz w:val="32"/>
          <w:szCs w:val="32"/>
          <w:lang w:val="en-US" w:eastAsia="zh-CN"/>
        </w:rPr>
        <w:t>2024年城调所项目支出总额</w:t>
      </w:r>
      <w:r>
        <w:rPr>
          <w:rFonts w:hint="eastAsia" w:ascii="仿宋" w:hAnsi="仿宋" w:eastAsia="仿宋" w:cs="仿宋"/>
          <w:b w:val="0"/>
          <w:bCs/>
          <w:sz w:val="32"/>
          <w:szCs w:val="32"/>
          <w:lang w:val="en-US" w:eastAsia="zh-CN"/>
        </w:rPr>
        <w:t>1988.73</w:t>
      </w:r>
      <w:r>
        <w:rPr>
          <w:rFonts w:hint="eastAsia" w:ascii="仿宋" w:hAnsi="仿宋" w:eastAsia="仿宋" w:cs="仿宋"/>
          <w:color w:val="auto"/>
          <w:kern w:val="0"/>
          <w:sz w:val="32"/>
          <w:szCs w:val="32"/>
          <w:lang w:val="en-US" w:eastAsia="zh-CN"/>
        </w:rPr>
        <w:t>万元（含上年结转金额546.79万元），具体情况如下：</w:t>
      </w:r>
    </w:p>
    <w:p w14:paraId="59AEA03A">
      <w:pPr>
        <w:keepNext w:val="0"/>
        <w:keepLines w:val="0"/>
        <w:pageBreakBefore w:val="0"/>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auto"/>
          <w:kern w:val="0"/>
          <w:sz w:val="32"/>
          <w:szCs w:val="32"/>
          <w:lang w:val="en-US" w:eastAsia="zh-CN"/>
        </w:rPr>
      </w:pPr>
    </w:p>
    <w:p w14:paraId="3E0037AE">
      <w:pPr>
        <w:keepNext w:val="0"/>
        <w:keepLines w:val="0"/>
        <w:pageBreakBefore w:val="0"/>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auto"/>
          <w:kern w:val="0"/>
          <w:sz w:val="32"/>
          <w:szCs w:val="32"/>
          <w:lang w:val="en-US" w:eastAsia="zh-CN"/>
        </w:rPr>
      </w:pPr>
    </w:p>
    <w:p w14:paraId="235AF8F0">
      <w:pPr>
        <w:keepNext w:val="0"/>
        <w:keepLines w:val="0"/>
        <w:pageBreakBefore w:val="0"/>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auto"/>
          <w:kern w:val="0"/>
          <w:sz w:val="32"/>
          <w:szCs w:val="32"/>
          <w:lang w:val="en-US" w:eastAsia="zh-CN"/>
        </w:rPr>
      </w:pPr>
    </w:p>
    <w:p w14:paraId="7CE89C56">
      <w:pPr>
        <w:keepNext w:val="0"/>
        <w:keepLines w:val="0"/>
        <w:pageBreakBefore w:val="0"/>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auto"/>
          <w:kern w:val="0"/>
          <w:sz w:val="32"/>
          <w:szCs w:val="32"/>
          <w:lang w:val="en-US" w:eastAsia="zh-CN"/>
        </w:rPr>
      </w:pPr>
    </w:p>
    <w:p w14:paraId="4ECFD1BA">
      <w:pPr>
        <w:keepNext w:val="0"/>
        <w:keepLines w:val="0"/>
        <w:pageBreakBefore w:val="0"/>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auto"/>
          <w:kern w:val="0"/>
          <w:sz w:val="32"/>
          <w:szCs w:val="32"/>
          <w:lang w:val="en-US" w:eastAsia="zh-CN"/>
        </w:rPr>
      </w:pPr>
    </w:p>
    <w:p w14:paraId="6911F800">
      <w:pPr>
        <w:keepNext w:val="0"/>
        <w:keepLines w:val="0"/>
        <w:pageBreakBefore w:val="0"/>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auto"/>
          <w:kern w:val="0"/>
          <w:sz w:val="32"/>
          <w:szCs w:val="32"/>
          <w:lang w:val="en-US" w:eastAsia="zh-CN"/>
        </w:rPr>
      </w:pPr>
    </w:p>
    <w:tbl>
      <w:tblPr>
        <w:tblStyle w:val="3"/>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
        <w:gridCol w:w="6"/>
        <w:gridCol w:w="2383"/>
        <w:gridCol w:w="1088"/>
        <w:gridCol w:w="1012"/>
        <w:gridCol w:w="1125"/>
        <w:gridCol w:w="1213"/>
        <w:gridCol w:w="1062"/>
        <w:gridCol w:w="1071"/>
      </w:tblGrid>
      <w:tr w14:paraId="2A44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480" w:type="dxa"/>
            <w:gridSpan w:val="9"/>
            <w:tcBorders>
              <w:top w:val="nil"/>
              <w:left w:val="nil"/>
              <w:bottom w:val="nil"/>
              <w:right w:val="nil"/>
            </w:tcBorders>
            <w:noWrap w:val="0"/>
            <w:vAlign w:val="center"/>
          </w:tcPr>
          <w:p w14:paraId="14CFE6C6">
            <w:pPr>
              <w:keepNext w:val="0"/>
              <w:keepLines w:val="0"/>
              <w:widowControl/>
              <w:suppressLineNumbers w:val="0"/>
              <w:jc w:val="center"/>
              <w:textAlignment w:val="center"/>
              <w:rPr>
                <w:rFonts w:ascii="楷体" w:hAnsi="楷体" w:eastAsia="楷体" w:cs="楷体"/>
                <w:i w:val="0"/>
                <w:iCs w:val="0"/>
                <w:color w:val="000000"/>
                <w:sz w:val="32"/>
                <w:szCs w:val="32"/>
                <w:u w:val="none"/>
              </w:rPr>
            </w:pPr>
            <w:r>
              <w:rPr>
                <w:rFonts w:hint="eastAsia" w:ascii="楷体" w:hAnsi="楷体" w:eastAsia="楷体" w:cs="楷体"/>
                <w:b w:val="0"/>
                <w:bCs w:val="0"/>
                <w:i w:val="0"/>
                <w:iCs w:val="0"/>
                <w:color w:val="000000"/>
                <w:kern w:val="0"/>
                <w:sz w:val="32"/>
                <w:szCs w:val="32"/>
                <w:u w:val="none"/>
                <w:lang w:val="en-US" w:eastAsia="zh-CN" w:bidi="ar"/>
              </w:rPr>
              <w:t>专项资金明细表</w:t>
            </w:r>
          </w:p>
        </w:tc>
      </w:tr>
      <w:tr w14:paraId="407E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6" w:type="dxa"/>
            <w:gridSpan w:val="2"/>
            <w:tcBorders>
              <w:top w:val="nil"/>
              <w:left w:val="nil"/>
              <w:bottom w:val="nil"/>
              <w:right w:val="nil"/>
            </w:tcBorders>
            <w:noWrap w:val="0"/>
            <w:vAlign w:val="center"/>
          </w:tcPr>
          <w:p w14:paraId="0C2FBA24">
            <w:pPr>
              <w:rPr>
                <w:rFonts w:hint="eastAsia" w:ascii="宋体" w:hAnsi="宋体" w:eastAsia="宋体" w:cs="宋体"/>
                <w:i w:val="0"/>
                <w:iCs w:val="0"/>
                <w:color w:val="000000"/>
                <w:sz w:val="32"/>
                <w:szCs w:val="32"/>
                <w:u w:val="none"/>
              </w:rPr>
            </w:pPr>
          </w:p>
        </w:tc>
        <w:tc>
          <w:tcPr>
            <w:tcW w:w="2383" w:type="dxa"/>
            <w:tcBorders>
              <w:top w:val="nil"/>
              <w:left w:val="nil"/>
              <w:bottom w:val="nil"/>
              <w:right w:val="nil"/>
            </w:tcBorders>
            <w:noWrap/>
            <w:vAlign w:val="center"/>
          </w:tcPr>
          <w:p w14:paraId="3F2E415A">
            <w:pPr>
              <w:rPr>
                <w:rFonts w:hint="eastAsia" w:ascii="宋体" w:hAnsi="宋体" w:eastAsia="宋体" w:cs="宋体"/>
                <w:i w:val="0"/>
                <w:iCs w:val="0"/>
                <w:color w:val="000000"/>
                <w:sz w:val="32"/>
                <w:szCs w:val="32"/>
                <w:u w:val="none"/>
              </w:rPr>
            </w:pPr>
          </w:p>
        </w:tc>
        <w:tc>
          <w:tcPr>
            <w:tcW w:w="1088" w:type="dxa"/>
            <w:tcBorders>
              <w:top w:val="nil"/>
              <w:left w:val="nil"/>
              <w:bottom w:val="nil"/>
              <w:right w:val="nil"/>
            </w:tcBorders>
            <w:noWrap/>
            <w:vAlign w:val="center"/>
          </w:tcPr>
          <w:p w14:paraId="7E9EB336">
            <w:pPr>
              <w:rPr>
                <w:rFonts w:hint="eastAsia" w:ascii="宋体" w:hAnsi="宋体" w:eastAsia="宋体" w:cs="宋体"/>
                <w:i w:val="0"/>
                <w:iCs w:val="0"/>
                <w:color w:val="000000"/>
                <w:sz w:val="32"/>
                <w:szCs w:val="32"/>
                <w:u w:val="none"/>
              </w:rPr>
            </w:pPr>
          </w:p>
        </w:tc>
        <w:tc>
          <w:tcPr>
            <w:tcW w:w="1012" w:type="dxa"/>
            <w:tcBorders>
              <w:top w:val="nil"/>
              <w:left w:val="nil"/>
              <w:bottom w:val="nil"/>
              <w:right w:val="nil"/>
            </w:tcBorders>
            <w:noWrap/>
            <w:vAlign w:val="center"/>
          </w:tcPr>
          <w:p w14:paraId="44A91280">
            <w:pPr>
              <w:rPr>
                <w:rFonts w:hint="eastAsia" w:ascii="宋体" w:hAnsi="宋体" w:eastAsia="宋体" w:cs="宋体"/>
                <w:i w:val="0"/>
                <w:iCs w:val="0"/>
                <w:color w:val="000000"/>
                <w:sz w:val="32"/>
                <w:szCs w:val="32"/>
                <w:u w:val="none"/>
              </w:rPr>
            </w:pPr>
          </w:p>
        </w:tc>
        <w:tc>
          <w:tcPr>
            <w:tcW w:w="1125" w:type="dxa"/>
            <w:tcBorders>
              <w:top w:val="nil"/>
              <w:left w:val="nil"/>
              <w:bottom w:val="nil"/>
              <w:right w:val="nil"/>
            </w:tcBorders>
            <w:noWrap/>
            <w:vAlign w:val="center"/>
          </w:tcPr>
          <w:p w14:paraId="7C5641C4">
            <w:pPr>
              <w:rPr>
                <w:rFonts w:hint="eastAsia" w:ascii="宋体" w:hAnsi="宋体" w:eastAsia="宋体" w:cs="宋体"/>
                <w:i w:val="0"/>
                <w:iCs w:val="0"/>
                <w:color w:val="000000"/>
                <w:sz w:val="32"/>
                <w:szCs w:val="32"/>
                <w:u w:val="none"/>
              </w:rPr>
            </w:pPr>
          </w:p>
        </w:tc>
        <w:tc>
          <w:tcPr>
            <w:tcW w:w="1213" w:type="dxa"/>
            <w:tcBorders>
              <w:top w:val="nil"/>
              <w:left w:val="nil"/>
              <w:bottom w:val="nil"/>
              <w:right w:val="nil"/>
            </w:tcBorders>
            <w:noWrap/>
            <w:vAlign w:val="center"/>
          </w:tcPr>
          <w:p w14:paraId="0162EF9D">
            <w:pPr>
              <w:rPr>
                <w:rFonts w:hint="eastAsia" w:ascii="宋体" w:hAnsi="宋体" w:eastAsia="宋体" w:cs="宋体"/>
                <w:i w:val="0"/>
                <w:iCs w:val="0"/>
                <w:color w:val="000000"/>
                <w:sz w:val="32"/>
                <w:szCs w:val="32"/>
                <w:u w:val="none"/>
              </w:rPr>
            </w:pPr>
          </w:p>
        </w:tc>
        <w:tc>
          <w:tcPr>
            <w:tcW w:w="2133" w:type="dxa"/>
            <w:gridSpan w:val="2"/>
            <w:tcBorders>
              <w:top w:val="nil"/>
              <w:left w:val="nil"/>
              <w:bottom w:val="nil"/>
              <w:right w:val="nil"/>
            </w:tcBorders>
            <w:noWrap/>
            <w:vAlign w:val="center"/>
          </w:tcPr>
          <w:p w14:paraId="58FF3FB1">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 xml:space="preserve">  单位：万元</w:t>
            </w:r>
          </w:p>
        </w:tc>
      </w:tr>
      <w:tr w14:paraId="27F7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5EC578E">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23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71EEB1">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预算项目名称</w:t>
            </w:r>
          </w:p>
        </w:tc>
        <w:tc>
          <w:tcPr>
            <w:tcW w:w="3225" w:type="dxa"/>
            <w:gridSpan w:val="3"/>
            <w:tcBorders>
              <w:top w:val="single" w:color="000000" w:sz="4" w:space="0"/>
              <w:left w:val="single" w:color="000000" w:sz="4" w:space="0"/>
              <w:bottom w:val="single" w:color="000000" w:sz="4" w:space="0"/>
              <w:right w:val="single" w:color="000000" w:sz="4" w:space="0"/>
            </w:tcBorders>
            <w:noWrap w:val="0"/>
            <w:vAlign w:val="center"/>
          </w:tcPr>
          <w:p w14:paraId="02F9BD61">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2024年拨付项目金额</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07A0D">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2024年</w:t>
            </w:r>
          </w:p>
          <w:p w14:paraId="61C17AD9">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实际支出</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4B2144">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结转</w:t>
            </w:r>
          </w:p>
          <w:p w14:paraId="70BA10CB">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下年</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B8A5D6">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执行率</w:t>
            </w:r>
          </w:p>
        </w:tc>
      </w:tr>
      <w:tr w14:paraId="2D10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AA7FF9">
            <w:pPr>
              <w:jc w:val="center"/>
              <w:rPr>
                <w:rFonts w:hint="eastAsia" w:ascii="楷体" w:hAnsi="楷体" w:eastAsia="楷体" w:cs="楷体"/>
                <w:b/>
                <w:bCs/>
                <w:i w:val="0"/>
                <w:iCs w:val="0"/>
                <w:color w:val="000000"/>
                <w:sz w:val="24"/>
                <w:szCs w:val="24"/>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AE1F1">
            <w:pPr>
              <w:jc w:val="center"/>
              <w:rPr>
                <w:rFonts w:hint="eastAsia" w:ascii="楷体" w:hAnsi="楷体" w:eastAsia="楷体" w:cs="楷体"/>
                <w:b/>
                <w:bCs/>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DB30B49">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小计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9763893">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上年</w:t>
            </w:r>
          </w:p>
          <w:p w14:paraId="176FD0BF">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结转</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C8DAA6">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当年</w:t>
            </w:r>
          </w:p>
          <w:p w14:paraId="39BFF51F">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预算</w:t>
            </w: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DBBF3">
            <w:pPr>
              <w:jc w:val="center"/>
              <w:rPr>
                <w:rFonts w:hint="eastAsia" w:ascii="楷体" w:hAnsi="楷体" w:eastAsia="楷体" w:cs="楷体"/>
                <w:b/>
                <w:bCs/>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B15D">
            <w:pPr>
              <w:jc w:val="center"/>
              <w:rPr>
                <w:rFonts w:hint="eastAsia" w:ascii="楷体" w:hAnsi="楷体" w:eastAsia="楷体" w:cs="楷体"/>
                <w:b/>
                <w:bCs/>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803D2">
            <w:pPr>
              <w:jc w:val="center"/>
              <w:rPr>
                <w:rFonts w:hint="eastAsia" w:ascii="楷体" w:hAnsi="楷体" w:eastAsia="楷体" w:cs="楷体"/>
                <w:b/>
                <w:bCs/>
                <w:i w:val="0"/>
                <w:iCs w:val="0"/>
                <w:color w:val="000000"/>
                <w:sz w:val="24"/>
                <w:szCs w:val="24"/>
                <w:u w:val="none"/>
              </w:rPr>
            </w:pPr>
          </w:p>
        </w:tc>
      </w:tr>
      <w:tr w14:paraId="5EAB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noWrap w:val="0"/>
            <w:vAlign w:val="center"/>
          </w:tcPr>
          <w:p w14:paraId="71470D17">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b/>
                <w:bCs/>
                <w:sz w:val="24"/>
                <w:szCs w:val="24"/>
                <w:lang w:val="en-US" w:eastAsia="zh-CN"/>
              </w:rPr>
              <w:t>自然资源专项</w:t>
            </w:r>
          </w:p>
        </w:tc>
      </w:tr>
      <w:tr w14:paraId="4D81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139F6364">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1</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4E61C30">
            <w:pPr>
              <w:keepNext w:val="0"/>
              <w:keepLines w:val="0"/>
              <w:widowControl/>
              <w:suppressLineNumbers w:val="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2023年度自然资源卫星监测</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8713FC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164</w:t>
            </w:r>
            <w:r>
              <w:rPr>
                <w:rFonts w:hint="eastAsia" w:ascii="楷体" w:hAnsi="楷体" w:eastAsia="楷体" w:cs="楷体"/>
                <w:sz w:val="24"/>
                <w:szCs w:val="24"/>
              </w:rPr>
              <w:t>.00</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938960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0.00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49FE81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164</w:t>
            </w:r>
            <w:r>
              <w:rPr>
                <w:rFonts w:hint="eastAsia" w:ascii="楷体" w:hAnsi="楷体" w:eastAsia="楷体" w:cs="楷体"/>
                <w:sz w:val="24"/>
                <w:szCs w:val="24"/>
              </w:rPr>
              <w:t>.00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A85DF3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164</w:t>
            </w:r>
            <w:r>
              <w:rPr>
                <w:rFonts w:hint="eastAsia" w:ascii="楷体" w:hAnsi="楷体" w:eastAsia="楷体" w:cs="楷体"/>
                <w:sz w:val="24"/>
                <w:szCs w:val="24"/>
              </w:rPr>
              <w:t>.00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D97F269">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0.00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5A09E15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100.00%</w:t>
            </w:r>
          </w:p>
        </w:tc>
      </w:tr>
      <w:tr w14:paraId="10C6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6A4ED921">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2</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70C5E24">
            <w:pPr>
              <w:keepNext w:val="0"/>
              <w:keepLines w:val="0"/>
              <w:widowControl/>
              <w:suppressLineNumbers w:val="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桃源县马家坡矿区金矿普查</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4167D5C">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54.85</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417386A">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54.85</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EE8121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0.00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DE32135">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54.85</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1436017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0.00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444A540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100.00%</w:t>
            </w:r>
          </w:p>
        </w:tc>
      </w:tr>
      <w:tr w14:paraId="6041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5AF6E150">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3</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3594AF3">
            <w:pPr>
              <w:keepNext w:val="0"/>
              <w:keepLines w:val="0"/>
              <w:widowControl/>
              <w:suppressLineNumbers w:val="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矿业权人勘查开采信息公示及实地核查（2024年度）</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36414749">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175.00</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6432824B">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0.00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0855D2F">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175.00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AB14404">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175.00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82F342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0.00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0B5A9BA7">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100.00%</w:t>
            </w:r>
          </w:p>
        </w:tc>
      </w:tr>
      <w:tr w14:paraId="644D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695FC8CF">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4</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0654A25">
            <w:pPr>
              <w:keepNext w:val="0"/>
              <w:keepLines w:val="0"/>
              <w:widowControl/>
              <w:suppressLineNumbers w:val="0"/>
              <w:jc w:val="lef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2024年度自然资源卫星监测外业核查</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60A49C31">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304.00</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400A758D">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0.00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DE29A0C">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304.00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A71DEC4">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lang w:val="en-US" w:eastAsia="zh-CN"/>
              </w:rPr>
              <w:t>304.00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0802432">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0.00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D638C13">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100.00%</w:t>
            </w:r>
          </w:p>
        </w:tc>
      </w:tr>
      <w:tr w14:paraId="14B3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79C53910">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A6078">
            <w:pPr>
              <w:keepNext w:val="0"/>
              <w:keepLines w:val="0"/>
              <w:widowControl/>
              <w:suppressLineNumbers w:val="0"/>
              <w:jc w:val="left"/>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临澧县刻木山乡黄鳌村地面塌陷地质灾害应急勘查项目(2023结转)</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29B9">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28.81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F4B9">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28.81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7F84">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FAF3">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28.81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828B">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51DF">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100.00%</w:t>
            </w:r>
          </w:p>
        </w:tc>
      </w:tr>
      <w:tr w14:paraId="6655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0742C9B0">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EEC0A">
            <w:pPr>
              <w:keepNext w:val="0"/>
              <w:keepLines w:val="0"/>
              <w:widowControl/>
              <w:suppressLineNumbers w:val="0"/>
              <w:jc w:val="left"/>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龙山县1:1万地灾调查和风险评价(2023结转)</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981C">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57.12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F657">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57.12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F662">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38F0">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57.12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CBD8">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DC79">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100.00%</w:t>
            </w:r>
          </w:p>
        </w:tc>
      </w:tr>
      <w:tr w14:paraId="1036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2090223E">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1D3A0">
            <w:pPr>
              <w:keepNext w:val="0"/>
              <w:keepLines w:val="0"/>
              <w:widowControl/>
              <w:suppressLineNumbers w:val="0"/>
              <w:jc w:val="left"/>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常德市鼎城区1:1万地灾调查和风险评价(2023结转)</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C9E6">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23.77</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ADAF">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23.77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6AD5">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A4B8">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23.77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C33B">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5C44">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100.00%</w:t>
            </w:r>
          </w:p>
        </w:tc>
      </w:tr>
      <w:tr w14:paraId="3312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22321D58">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9FD54">
            <w:pPr>
              <w:keepNext w:val="0"/>
              <w:keepLines w:val="0"/>
              <w:widowControl/>
              <w:suppressLineNumbers w:val="0"/>
              <w:jc w:val="left"/>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泸溪县1：1万地灾调查和风险评价(2023结转)</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E9A0">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54.52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3587">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54.52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4A6F">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3086">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54.52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EF05">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1068">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100.00%</w:t>
            </w:r>
          </w:p>
        </w:tc>
      </w:tr>
      <w:tr w14:paraId="3983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754E5A6F">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9</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9ED2F">
            <w:pPr>
              <w:keepNext w:val="0"/>
              <w:keepLines w:val="0"/>
              <w:widowControl/>
              <w:suppressLineNumbers w:val="0"/>
              <w:jc w:val="left"/>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安化县1:1万地灾调查和风险评价项目(2023结转)</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B75F">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35.90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33F2">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35.90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E2F2">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7C83">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35.90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9807">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4016">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100.00%</w:t>
            </w:r>
          </w:p>
        </w:tc>
      </w:tr>
      <w:tr w14:paraId="5E83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6" w:type="dxa"/>
            <w:gridSpan w:val="2"/>
            <w:tcBorders>
              <w:top w:val="single" w:color="000000" w:sz="4" w:space="0"/>
              <w:left w:val="single" w:color="000000" w:sz="4" w:space="0"/>
              <w:bottom w:val="single" w:color="000000" w:sz="4" w:space="0"/>
              <w:right w:val="single" w:color="000000" w:sz="4" w:space="0"/>
            </w:tcBorders>
            <w:noWrap w:val="0"/>
            <w:vAlign w:val="center"/>
          </w:tcPr>
          <w:p w14:paraId="47BC0C0D">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71C86">
            <w:pPr>
              <w:keepNext w:val="0"/>
              <w:keepLines w:val="0"/>
              <w:widowControl/>
              <w:suppressLineNumbers w:val="0"/>
              <w:jc w:val="left"/>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湘西北志留系页岩斜坡成灾机理与成灾模式研究</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34F3">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100.00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9E2F">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90B2">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100.00 </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597D">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82.64 </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753C">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 xml:space="preserve">17.36 </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A466">
            <w:pPr>
              <w:keepNext w:val="0"/>
              <w:keepLines w:val="0"/>
              <w:widowControl/>
              <w:suppressLineNumbers w:val="0"/>
              <w:jc w:val="center"/>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82.64%</w:t>
            </w:r>
          </w:p>
        </w:tc>
      </w:tr>
      <w:tr w14:paraId="5F03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909" w:type="dxa"/>
            <w:gridSpan w:val="3"/>
            <w:tcBorders>
              <w:top w:val="single" w:color="000000" w:sz="4" w:space="0"/>
              <w:left w:val="single" w:color="000000" w:sz="4" w:space="0"/>
              <w:bottom w:val="single" w:color="000000" w:sz="4" w:space="0"/>
              <w:right w:val="single" w:color="000000" w:sz="4" w:space="0"/>
            </w:tcBorders>
            <w:noWrap w:val="0"/>
            <w:vAlign w:val="center"/>
          </w:tcPr>
          <w:p w14:paraId="1632B908">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sz w:val="24"/>
                <w:szCs w:val="24"/>
                <w:lang w:val="en-US" w:eastAsia="zh-CN"/>
              </w:rPr>
              <w:t>小</w:t>
            </w:r>
            <w:r>
              <w:rPr>
                <w:rFonts w:hint="eastAsia" w:ascii="楷体" w:hAnsi="楷体" w:eastAsia="楷体" w:cs="楷体"/>
                <w:b/>
                <w:bCs/>
                <w:sz w:val="24"/>
                <w:szCs w:val="24"/>
              </w:rPr>
              <w:t>计</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281AA883">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997.97</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8889CDD">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254.97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2E0E4FD">
            <w:pPr>
              <w:keepNext w:val="0"/>
              <w:keepLines w:val="0"/>
              <w:widowControl/>
              <w:suppressLineNumbers w:val="0"/>
              <w:jc w:val="center"/>
              <w:textAlignment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743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AA07068">
            <w:pPr>
              <w:keepNext w:val="0"/>
              <w:keepLines w:val="0"/>
              <w:widowControl/>
              <w:suppressLineNumbers w:val="0"/>
              <w:jc w:val="center"/>
              <w:textAlignment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980.61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30D2AD6">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17.36</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1F6AF0AE">
            <w:pPr>
              <w:keepNext w:val="0"/>
              <w:keepLines w:val="0"/>
              <w:widowControl/>
              <w:suppressLineNumbers w:val="0"/>
              <w:jc w:val="center"/>
              <w:textAlignment w:val="center"/>
              <w:rPr>
                <w:rFonts w:hint="default"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98.26%</w:t>
            </w:r>
          </w:p>
        </w:tc>
      </w:tr>
      <w:tr w14:paraId="407B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noWrap w:val="0"/>
            <w:vAlign w:val="center"/>
          </w:tcPr>
          <w:p w14:paraId="72BEA993">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地勘改革发展专项</w:t>
            </w:r>
          </w:p>
        </w:tc>
      </w:tr>
      <w:tr w14:paraId="1FF1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212330F">
            <w:pPr>
              <w:keepNext w:val="0"/>
              <w:keepLines w:val="0"/>
              <w:widowControl/>
              <w:suppressLineNumbers w:val="0"/>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sz w:val="24"/>
                <w:szCs w:val="24"/>
              </w:rPr>
              <w:t>1</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319FDCE0">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城市内涝灾害精细化智能感知预警平台设计与开发项目</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6F5417FB">
            <w:pPr>
              <w:keepNext w:val="0"/>
              <w:keepLines w:val="0"/>
              <w:widowControl/>
              <w:suppressLineNumbers w:val="0"/>
              <w:jc w:val="center"/>
              <w:textAlignment w:val="center"/>
              <w:rPr>
                <w:rFonts w:hint="default" w:ascii="楷体" w:hAnsi="楷体" w:eastAsia="楷体" w:cs="楷体"/>
                <w:sz w:val="24"/>
                <w:szCs w:val="24"/>
                <w:lang w:val="en-US"/>
              </w:rPr>
            </w:pPr>
            <w:r>
              <w:rPr>
                <w:rFonts w:hint="eastAsia" w:ascii="楷体" w:hAnsi="楷体" w:eastAsia="楷体" w:cs="楷体"/>
                <w:sz w:val="24"/>
                <w:szCs w:val="24"/>
                <w:lang w:val="en-US" w:eastAsia="zh-CN"/>
              </w:rPr>
              <w:t>30.00</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155638BD">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0.00</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85574FB">
            <w:pPr>
              <w:keepNext w:val="0"/>
              <w:keepLines w:val="0"/>
              <w:widowControl/>
              <w:suppressLineNumbers w:val="0"/>
              <w:jc w:val="center"/>
              <w:textAlignment w:val="center"/>
              <w:rPr>
                <w:rFonts w:hint="default" w:ascii="楷体" w:hAnsi="楷体" w:eastAsia="楷体" w:cs="楷体"/>
                <w:sz w:val="24"/>
                <w:szCs w:val="24"/>
                <w:lang w:val="en-US"/>
              </w:rPr>
            </w:pPr>
            <w:r>
              <w:rPr>
                <w:rFonts w:hint="eastAsia" w:ascii="楷体" w:hAnsi="楷体" w:eastAsia="楷体" w:cs="楷体"/>
                <w:sz w:val="24"/>
                <w:szCs w:val="24"/>
                <w:lang w:val="en-US" w:eastAsia="zh-CN"/>
              </w:rPr>
              <w:t>30.00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1D93C0A">
            <w:pPr>
              <w:keepNext w:val="0"/>
              <w:keepLines w:val="0"/>
              <w:widowControl/>
              <w:suppressLineNumbers w:val="0"/>
              <w:jc w:val="center"/>
              <w:textAlignment w:val="center"/>
              <w:rPr>
                <w:rFonts w:hint="default" w:ascii="楷体" w:hAnsi="楷体" w:eastAsia="楷体" w:cs="楷体"/>
                <w:sz w:val="24"/>
                <w:szCs w:val="24"/>
                <w:lang w:val="en-US"/>
              </w:rPr>
            </w:pPr>
            <w:r>
              <w:rPr>
                <w:rFonts w:hint="eastAsia" w:ascii="楷体" w:hAnsi="楷体" w:eastAsia="楷体" w:cs="楷体"/>
                <w:sz w:val="24"/>
                <w:szCs w:val="24"/>
                <w:lang w:val="en-US" w:eastAsia="zh-CN"/>
              </w:rPr>
              <w:t>0.00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5CEC2C7">
            <w:pPr>
              <w:keepNext w:val="0"/>
              <w:keepLines w:val="0"/>
              <w:widowControl/>
              <w:suppressLineNumbers w:val="0"/>
              <w:jc w:val="center"/>
              <w:textAlignment w:val="center"/>
              <w:rPr>
                <w:rFonts w:hint="default" w:ascii="楷体" w:hAnsi="楷体" w:eastAsia="楷体" w:cs="楷体"/>
                <w:sz w:val="24"/>
                <w:szCs w:val="24"/>
                <w:lang w:val="en-US"/>
              </w:rPr>
            </w:pPr>
            <w:r>
              <w:rPr>
                <w:rFonts w:hint="eastAsia" w:ascii="楷体" w:hAnsi="楷体" w:eastAsia="楷体" w:cs="楷体"/>
                <w:sz w:val="24"/>
                <w:szCs w:val="24"/>
                <w:lang w:val="en-US" w:eastAsia="zh-CN"/>
              </w:rPr>
              <w:t>30.00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60ECADBE">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0.00%</w:t>
            </w:r>
          </w:p>
        </w:tc>
      </w:tr>
      <w:tr w14:paraId="40E8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36240FB">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0EF12FB0">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rPr>
              <w:t>装备建设三年行动计划</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4FC7D52">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55.00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EC93465">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84B5182">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55.00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D71DCA2">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54.78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8779F7E">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0.22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F859BEE">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99.60%</w:t>
            </w:r>
          </w:p>
        </w:tc>
      </w:tr>
      <w:tr w14:paraId="39AD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001D324D">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48B6F">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rPr>
              <w:t>基于地球物理探测技术与多元数据融合的滑坡稳定性分析研究</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37C05B3F">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30.00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8502E3F">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2A3A9A6">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30.00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1F88A60">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83BD077">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30.00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73BB3340">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0.00%</w:t>
            </w:r>
          </w:p>
        </w:tc>
      </w:tr>
      <w:tr w14:paraId="5CC3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6D4104AD">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28B2DEBE">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rPr>
              <w:t>2024年度地勘基金认缴资金</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DBA244A">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142.00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13AE432">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7C102C4">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142.00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777DAD8">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142.00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7BB6476">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5D87E104">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100.00%</w:t>
            </w:r>
          </w:p>
        </w:tc>
      </w:tr>
      <w:tr w14:paraId="547B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6DEC7167">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108FF257">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rPr>
              <w:t>购置硬件计算服务器、存储服务器、万兆交换机、机房配套设备等(2023结转)</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4C1A189">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80.00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1A030D4D">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80.00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67EB595">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EA53D21">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80.00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3721B27">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7ECE503">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100.00%</w:t>
            </w:r>
          </w:p>
        </w:tc>
      </w:tr>
      <w:tr w14:paraId="6D43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BA9422E">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60338877">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rPr>
              <w:t>便携式多参数水质检测仪、水质在线监测设备扫描仪、地下水系统与污染修复模拟设备等专用设备等(2023结转)</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B551FFD">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101.82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376B534D">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101.82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0119120">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14AA503">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101.82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2B882D9">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27010BED">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100.00%</w:t>
            </w:r>
          </w:p>
        </w:tc>
      </w:tr>
      <w:tr w14:paraId="05E3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7994C9AF">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155CE9FC">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rPr>
              <w:t>数字地质填图与分析测试：便携式矿石快速分析仪</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010C5F1A">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30.00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E268418">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B2F7028">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30.00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82988B8">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29.96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25460922">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0.04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76CEEBE5">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99.87%</w:t>
            </w:r>
          </w:p>
        </w:tc>
      </w:tr>
      <w:tr w14:paraId="5EB9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188CAAC3">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783679AC">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rPr>
              <w:t>手持三维激光扫描仪多及功能管道机器人</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243473B">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75.00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4E5B3EE">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912F3DB">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75.00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660E41A">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74.58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AF2ED2F">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0.42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4464D05F">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99.44%</w:t>
            </w:r>
          </w:p>
        </w:tc>
      </w:tr>
      <w:tr w14:paraId="4882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621AEDF2">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5C409AF5">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物探设备：APS高精度定位系统、快速地震映像透视仪、工程病害智能检测系统</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8F6D805">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96.00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2B530B46">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1C1179E">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96.00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0AA7D8A">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54B82CD">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96.00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0ADE127C">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0.00%</w:t>
            </w:r>
          </w:p>
        </w:tc>
      </w:tr>
      <w:tr w14:paraId="2AE7B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0C49A640">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01B6D7B6">
            <w:pPr>
              <w:keepNext w:val="0"/>
              <w:keepLines w:val="0"/>
              <w:widowControl/>
              <w:suppressLineNumbers w:val="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三维深部时频激电系统</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27902A12">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112.00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60BF5C75">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70C07B3">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112.00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ED3312D">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111.70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7B7E1E6">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0.30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49C2752C">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99.73%</w:t>
            </w:r>
          </w:p>
        </w:tc>
      </w:tr>
      <w:tr w14:paraId="614B1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0F6153E6">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49B479FC">
            <w:pPr>
              <w:keepNext w:val="0"/>
              <w:keepLines w:val="0"/>
              <w:widowControl/>
              <w:suppressLineNumbers w:val="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益阳基地篮球坪和部分围墙有不同程度的地基下沉和开裂治理</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0AFA7A1B">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52.00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9DE8639">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F50B9D8">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52.00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D74C5D9">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51.70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3058D73">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0.30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50FC78F8">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99.42%</w:t>
            </w:r>
          </w:p>
        </w:tc>
      </w:tr>
      <w:tr w14:paraId="4B32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3AB0438">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22EC0933">
            <w:pPr>
              <w:keepNext w:val="0"/>
              <w:keepLines w:val="0"/>
              <w:widowControl/>
              <w:suppressLineNumbers w:val="0"/>
              <w:jc w:val="left"/>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国家先行区石门雄黄矿区重金属污染土壤生态修复关键技术研究</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998384F">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25.00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15447A20">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1E9CB90">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25.00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2498FAE">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15.00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1E746316">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10.00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113BDEC2">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60.00%</w:t>
            </w:r>
          </w:p>
        </w:tc>
      </w:tr>
      <w:tr w14:paraId="5E2E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75584BA">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3B8EAC1B">
            <w:pPr>
              <w:keepNext w:val="0"/>
              <w:keepLines w:val="0"/>
              <w:widowControl/>
              <w:suppressLineNumbers w:val="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钻探（钻井）类设备：全液压便携式钻机</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30B05F7">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100.00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652986C4">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80C71A5">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100.00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46BFDEC">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100.00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D3E9475">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20BF0AEA">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100.00%</w:t>
            </w:r>
          </w:p>
        </w:tc>
      </w:tr>
      <w:tr w14:paraId="6A88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1CF2339C">
            <w:pPr>
              <w:keepNext w:val="0"/>
              <w:keepLines w:val="0"/>
              <w:widowControl/>
              <w:suppressLineNumbers w:val="0"/>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43C74E08">
            <w:pPr>
              <w:keepNext w:val="0"/>
              <w:keepLines w:val="0"/>
              <w:widowControl/>
              <w:suppressLineNumbers w:val="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重金属暴露对环境与健康的影响研究、煤矿矿井涌水污染治理成套技术研发及示范</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1C18E9B2">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40.00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4D01D03C">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1C482A1">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40.00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7282E72">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D6E5337">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40.00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23BF6F58">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0.00%</w:t>
            </w:r>
          </w:p>
        </w:tc>
      </w:tr>
      <w:tr w14:paraId="67AA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8073036">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15</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630DCCEA">
            <w:pPr>
              <w:keepNext w:val="0"/>
              <w:keepLines w:val="0"/>
              <w:widowControl/>
              <w:suppressLineNumbers w:val="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城市地质信息管理平台建设（购置车载三维探地雷达及存储服务器等）(2023结转)</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66466A08">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110.00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1535FFD6">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110.00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C7FC039">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30C56A5">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110.00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0AA0302">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C3B3A9C">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100.00%</w:t>
            </w:r>
          </w:p>
        </w:tc>
      </w:tr>
      <w:tr w14:paraId="51AF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07FAA1AE">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16</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560BF923">
            <w:pPr>
              <w:keepNext w:val="0"/>
              <w:keepLines w:val="0"/>
              <w:widowControl/>
              <w:suppressLineNumbers w:val="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数据处理服务器浪潮</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3A645383">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61.00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401D4F95">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F120496">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61.00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B553898">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61.00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6F45912">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6C595383">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100.00%</w:t>
            </w:r>
          </w:p>
        </w:tc>
      </w:tr>
      <w:tr w14:paraId="2826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160B945F">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17</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1662E5D6">
            <w:pPr>
              <w:keepNext w:val="0"/>
              <w:keepLines w:val="0"/>
              <w:widowControl/>
              <w:suppressLineNumbers w:val="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单石墨炉型原子吸收分光光度计</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00478912">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30.00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3E748755">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65358E3">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30.00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DD60DDF">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29.87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E9EB4A2">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0.13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2DCE2D79">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99.57%</w:t>
            </w:r>
          </w:p>
        </w:tc>
      </w:tr>
      <w:tr w14:paraId="1130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082EFB34">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18</w:t>
            </w:r>
          </w:p>
        </w:tc>
        <w:tc>
          <w:tcPr>
            <w:tcW w:w="2389" w:type="dxa"/>
            <w:gridSpan w:val="2"/>
            <w:tcBorders>
              <w:top w:val="single" w:color="000000" w:sz="4" w:space="0"/>
              <w:left w:val="single" w:color="000000" w:sz="4" w:space="0"/>
              <w:bottom w:val="single" w:color="000000" w:sz="4" w:space="0"/>
              <w:right w:val="single" w:color="000000" w:sz="4" w:space="0"/>
            </w:tcBorders>
            <w:noWrap w:val="0"/>
            <w:vAlign w:val="center"/>
          </w:tcPr>
          <w:p w14:paraId="4F2020D1">
            <w:pPr>
              <w:keepNext w:val="0"/>
              <w:keepLines w:val="0"/>
              <w:widowControl/>
              <w:suppressLineNumbers w:val="0"/>
              <w:jc w:val="left"/>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常德基地地下室样品加工间改造</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38D6498C">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46.00 </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65D5BD1">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1F40D64">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46.00 </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93362D9">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45.72 </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6834800">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 xml:space="preserve">0.28 </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DA4A2BA">
            <w:pPr>
              <w:keepNext w:val="0"/>
              <w:keepLines w:val="0"/>
              <w:widowControl/>
              <w:suppressLineNumbers w:val="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99.39%</w:t>
            </w:r>
          </w:p>
        </w:tc>
      </w:tr>
      <w:tr w14:paraId="5C61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909" w:type="dxa"/>
            <w:gridSpan w:val="3"/>
            <w:tcBorders>
              <w:top w:val="single" w:color="000000" w:sz="4" w:space="0"/>
              <w:left w:val="single" w:color="000000" w:sz="4" w:space="0"/>
              <w:bottom w:val="single" w:color="000000" w:sz="4" w:space="0"/>
              <w:right w:val="single" w:color="000000" w:sz="4" w:space="0"/>
            </w:tcBorders>
            <w:noWrap w:val="0"/>
            <w:vAlign w:val="center"/>
          </w:tcPr>
          <w:p w14:paraId="156A98A2">
            <w:pPr>
              <w:keepNext w:val="0"/>
              <w:keepLines w:val="0"/>
              <w:widowControl/>
              <w:suppressLineNumbers w:val="0"/>
              <w:jc w:val="center"/>
              <w:textAlignment w:val="center"/>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sz w:val="24"/>
                <w:szCs w:val="24"/>
                <w:lang w:val="en-US" w:eastAsia="zh-CN"/>
              </w:rPr>
              <w:t>小</w:t>
            </w:r>
            <w:r>
              <w:rPr>
                <w:rFonts w:hint="eastAsia" w:ascii="楷体" w:hAnsi="楷体" w:eastAsia="楷体" w:cs="楷体"/>
                <w:b/>
                <w:bCs/>
                <w:sz w:val="24"/>
                <w:szCs w:val="24"/>
              </w:rPr>
              <w:t>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2D48">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1215.82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7CBC">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291.82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D2E1">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924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31A5">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1008.13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D221">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207.69</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FAD7">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82.92%</w:t>
            </w:r>
          </w:p>
        </w:tc>
      </w:tr>
      <w:tr w14:paraId="723D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909" w:type="dxa"/>
            <w:gridSpan w:val="3"/>
            <w:tcBorders>
              <w:top w:val="single" w:color="000000" w:sz="4" w:space="0"/>
              <w:left w:val="single" w:color="000000" w:sz="4" w:space="0"/>
              <w:bottom w:val="single" w:color="000000" w:sz="4" w:space="0"/>
              <w:right w:val="single" w:color="000000" w:sz="4" w:space="0"/>
            </w:tcBorders>
            <w:noWrap w:val="0"/>
            <w:vAlign w:val="center"/>
          </w:tcPr>
          <w:p w14:paraId="3CE961E2">
            <w:pPr>
              <w:keepNext w:val="0"/>
              <w:keepLines w:val="0"/>
              <w:widowControl/>
              <w:suppressLineNumbers w:val="0"/>
              <w:jc w:val="center"/>
              <w:textAlignment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3829">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2213.79</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A936">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546.79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4B69">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1667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6D84">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1988.74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155A">
            <w:pPr>
              <w:keepNext w:val="0"/>
              <w:keepLines w:val="0"/>
              <w:widowControl/>
              <w:suppressLineNumbers w:val="0"/>
              <w:jc w:val="center"/>
              <w:textAlignment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225.05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457B">
            <w:pPr>
              <w:keepNext w:val="0"/>
              <w:keepLines w:val="0"/>
              <w:widowControl/>
              <w:suppressLineNumbers w:val="0"/>
              <w:jc w:val="center"/>
              <w:textAlignment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89.83%</w:t>
            </w:r>
          </w:p>
        </w:tc>
      </w:tr>
    </w:tbl>
    <w:p w14:paraId="063925EE">
      <w:pPr>
        <w:keepNext w:val="0"/>
        <w:keepLines w:val="0"/>
        <w:pageBreakBefore w:val="0"/>
        <w:widowControl/>
        <w:shd w:val="clear"/>
        <w:kinsoku/>
        <w:wordWrap/>
        <w:overflowPunct/>
        <w:topLinePunct w:val="0"/>
        <w:autoSpaceDE/>
        <w:autoSpaceDN/>
        <w:bidi w:val="0"/>
        <w:adjustRightInd/>
        <w:snapToGrid/>
        <w:spacing w:line="300" w:lineRule="atLeas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三、政府性基金预算支出情况</w:t>
      </w:r>
    </w:p>
    <w:p w14:paraId="1A645B19">
      <w:pPr>
        <w:keepNext w:val="0"/>
        <w:keepLines w:val="0"/>
        <w:pageBreakBefore w:val="0"/>
        <w:widowControl/>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本单位无政府性基金预算支出</w:t>
      </w:r>
    </w:p>
    <w:p w14:paraId="3658DE87">
      <w:pPr>
        <w:keepNext w:val="0"/>
        <w:keepLines w:val="0"/>
        <w:pageBreakBefore w:val="0"/>
        <w:widowControl/>
        <w:shd w:val="clear"/>
        <w:kinsoku/>
        <w:wordWrap/>
        <w:overflowPunct/>
        <w:topLinePunct w:val="0"/>
        <w:autoSpaceDE/>
        <w:autoSpaceDN/>
        <w:bidi w:val="0"/>
        <w:adjustRightInd/>
        <w:snapToGrid/>
        <w:spacing w:line="300" w:lineRule="atLeas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四、国有资本经营预算支出情况</w:t>
      </w:r>
    </w:p>
    <w:p w14:paraId="302FA049">
      <w:pPr>
        <w:keepNext w:val="0"/>
        <w:keepLines w:val="0"/>
        <w:pageBreakBefore w:val="0"/>
        <w:widowControl/>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本单位无国有资本经营预算支出</w:t>
      </w:r>
    </w:p>
    <w:p w14:paraId="3C269361">
      <w:pPr>
        <w:keepNext w:val="0"/>
        <w:keepLines w:val="0"/>
        <w:pageBreakBefore w:val="0"/>
        <w:widowControl/>
        <w:shd w:val="clear"/>
        <w:kinsoku/>
        <w:wordWrap/>
        <w:overflowPunct/>
        <w:topLinePunct w:val="0"/>
        <w:autoSpaceDE/>
        <w:autoSpaceDN/>
        <w:bidi w:val="0"/>
        <w:adjustRightInd/>
        <w:snapToGrid/>
        <w:spacing w:line="300" w:lineRule="atLeas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五、社会保险基金预算支出情况</w:t>
      </w:r>
    </w:p>
    <w:p w14:paraId="7D2D4F83">
      <w:pPr>
        <w:keepNext w:val="0"/>
        <w:keepLines w:val="0"/>
        <w:pageBreakBefore w:val="0"/>
        <w:widowControl/>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本单位无社会保险基金预算支出</w:t>
      </w:r>
    </w:p>
    <w:p w14:paraId="49F2D489">
      <w:pPr>
        <w:keepNext w:val="0"/>
        <w:keepLines w:val="0"/>
        <w:pageBreakBefore w:val="0"/>
        <w:widowControl/>
        <w:numPr>
          <w:ilvl w:val="0"/>
          <w:numId w:val="3"/>
        </w:numPr>
        <w:shd w:val="clear"/>
        <w:kinsoku/>
        <w:wordWrap/>
        <w:overflowPunct/>
        <w:topLinePunct w:val="0"/>
        <w:autoSpaceDE/>
        <w:autoSpaceDN/>
        <w:bidi w:val="0"/>
        <w:adjustRightInd/>
        <w:snapToGrid/>
        <w:spacing w:line="300" w:lineRule="atLeas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单位整体支出绩效情况</w:t>
      </w:r>
    </w:p>
    <w:p w14:paraId="6208B227">
      <w:pPr>
        <w:keepNext w:val="0"/>
        <w:keepLines w:val="0"/>
        <w:pageBreakBefore w:val="0"/>
        <w:widowControl/>
        <w:numPr>
          <w:ilvl w:val="0"/>
          <w:numId w:val="4"/>
        </w:numPr>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单位整体收支情况</w:t>
      </w:r>
    </w:p>
    <w:p w14:paraId="6404CACF">
      <w:pPr>
        <w:pStyle w:val="5"/>
        <w:widowControl/>
        <w:numPr>
          <w:ilvl w:val="0"/>
          <w:numId w:val="0"/>
        </w:numPr>
        <w:spacing w:line="60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2024年城调所年初结转和结余546.79万元（全部为财政项目结转），本年财政拨款收入16421.42万元。本年财政拨款支出合计16742.57万元，其中基本支出14753.84万元，项目支出1988.73万元（含上年财政拨款结转546.79万元），年末结余和结转225.63万元，其中一般公共预算财政拨款基本经费拨款结转0.58万元，财政项目拨款结转225.05万元。</w:t>
      </w:r>
    </w:p>
    <w:p w14:paraId="7EDA4247">
      <w:pPr>
        <w:keepNext w:val="0"/>
        <w:keepLines w:val="0"/>
        <w:pageBreakBefore w:val="0"/>
        <w:widowControl/>
        <w:shd w:val="clear"/>
        <w:kinsoku/>
        <w:wordWrap/>
        <w:overflowPunct/>
        <w:topLinePunct w:val="0"/>
        <w:autoSpaceDE/>
        <w:autoSpaceDN/>
        <w:bidi w:val="0"/>
        <w:adjustRightInd/>
        <w:snapToGrid/>
        <w:spacing w:line="300" w:lineRule="atLeast"/>
        <w:ind w:firstLine="560"/>
        <w:textAlignment w:val="auto"/>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（二）单位整体支出绩效情况</w:t>
      </w:r>
    </w:p>
    <w:p w14:paraId="3C3A25C2">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FF0000"/>
          <w:kern w:val="0"/>
          <w:sz w:val="32"/>
          <w:szCs w:val="32"/>
          <w:lang w:val="en-US" w:eastAsia="zh-CN"/>
        </w:rPr>
      </w:pPr>
      <w:r>
        <w:rPr>
          <w:rFonts w:hint="eastAsia" w:ascii="仿宋" w:hAnsi="仿宋" w:eastAsia="仿宋" w:cs="仿宋"/>
          <w:color w:val="333333"/>
          <w:kern w:val="0"/>
          <w:sz w:val="32"/>
          <w:szCs w:val="32"/>
          <w:lang w:val="en-US" w:eastAsia="zh-CN"/>
        </w:rPr>
        <w:t>2024年，我单位预算支出绩效目标完成情况较好，全年预算执行率达到98.67%，上年财政项目结余资金预算支出执行率100%，工资福利和社会保障按时足额支付，全所在职职工年人均收入11.69万元，同比增长16.32%。</w:t>
      </w:r>
    </w:p>
    <w:p w14:paraId="57AD3A6A">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left="630" w:leftChars="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b/>
          <w:bCs/>
          <w:color w:val="333333"/>
          <w:kern w:val="0"/>
          <w:sz w:val="32"/>
          <w:szCs w:val="32"/>
          <w:lang w:val="en-US" w:eastAsia="zh-CN"/>
        </w:rPr>
        <w:t>1.党建引领成效突出</w:t>
      </w:r>
    </w:p>
    <w:p w14:paraId="1DB9D7EC">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进一步加强党建工作，推进全面从严治党。城调所始终坚持以习近平新时代中国特色社会主义思想为指导，认真贯彻落实党中央、国务院以及省委、省政府的决策部署，坚决做到“两个维护”。始终坚持以习近平总书记关于党的建设的重要思想为统揽，时刻对标对表，促进党建与经济工作深度融合，创建了“科创助力防突减灾”、“四带四共”等支部品牌。《破解地勘单位党建“红”出圈密码-以省城调所“党旗红耀城调”党建品牌创建为例》获得2023年度全省思想政治工作优秀研究成果二等奖，《“党建红+城调橙”何以热辣滚烫》被省院《地质湘风》第一期选用刊载。通过“党旗红耀城调”党建工作品牌创建，建立了“1+3”联络工作机制。利用微信公众平台，设立“身边榜样”专栏，在所公众号持续推送了12个先进典型事迹，让先进更先进，后进赶先进，扩大先进典型感召力、影响力。</w:t>
      </w:r>
    </w:p>
    <w:p w14:paraId="619F65B6">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left="630" w:leftChars="0"/>
        <w:textAlignment w:val="auto"/>
        <w:rPr>
          <w:rFonts w:hint="default"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2.经济运行稳健向好</w:t>
      </w:r>
    </w:p>
    <w:p w14:paraId="23CBF310">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2024年，全所对外经营合同总额 56959万元，实现经营收入30813.93万元，完成全年任务的101.7%，实现利润 462.14 万元，完成全年任务的102.7%。实现地质主责主业“固本兴新”“质效同升”，收入占比达89.66%.税后净利润476.02 万元，目标完成率105.78%，当年经营收入收现率74.52%，目标完成率87.67%，往年应收账款回收率33.22%，目标完成率66.44%。现金比率 42.88%，目标完成率142.92%。事业单位、所属企业“三增三减”工作按省院要求稳步推进，化债清欠及应收账款回收紧锣密鼓，2024年以来共计收回应收账款28762.77万元(其中收回本年账款 24441.95万元收回以前年度账款 4320.82万元),收回金额比去年增长5.89%,多项指标创历史新高。</w:t>
      </w:r>
    </w:p>
    <w:p w14:paraId="72481B94">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leftChars="200"/>
        <w:textAlignment w:val="auto"/>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3.主业发展落地见效</w:t>
      </w:r>
    </w:p>
    <w:p w14:paraId="73F44D22">
      <w:pPr>
        <w:keepNext w:val="0"/>
        <w:keepLines w:val="0"/>
        <w:widowControl/>
        <w:suppressLineNumbers w:val="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围绕“城市地质”积极破题，集中优势资源组建工作专班，重点争取长沙市城市地质安全风险评价与区划试点工作落地。根据“一所一品牌”工作部署，着眼城市地下空间，找准城市道路安全体检“小切口”，引入省内首套车载三维探地雷达StreamUP系统，主动参与省住建部门道路基础设施安全建设，参与编写“城市基础设施生命线安全工程实施技术标准”、“城市基础设施生命线安全工程运维”两项团体标准，参与联合研发的城市生命线工程--道路塌陷风险评估专项模型建设取得阶段性成果</w:t>
      </w:r>
      <w:r>
        <w:rPr>
          <w:rFonts w:hint="eastAsia" w:ascii="仿宋_GB2312" w:hAnsi="仿宋_GB2312" w:eastAsia="仿宋_GB2312" w:cs="仿宋_GB2312"/>
          <w:color w:val="000000"/>
          <w:kern w:val="0"/>
          <w:sz w:val="31"/>
          <w:szCs w:val="31"/>
          <w:lang w:val="en-US" w:eastAsia="zh-CN" w:bidi="ar"/>
        </w:rPr>
        <w:t>。</w:t>
      </w:r>
    </w:p>
    <w:p w14:paraId="61441E74">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leftChars="20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b/>
          <w:bCs/>
          <w:color w:val="333333"/>
          <w:kern w:val="0"/>
          <w:sz w:val="32"/>
          <w:szCs w:val="32"/>
          <w:lang w:val="en-US" w:eastAsia="zh-CN"/>
        </w:rPr>
        <w:t>（1）找矿增储优势彰显</w:t>
      </w:r>
    </w:p>
    <w:p w14:paraId="1DECC8CD">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加强与地方政府、行业主管部门、矿山企业的合作关系，积极开拓湘西北和境外市场，稳定市场占有率。致力湘西北特色非金属矿找矿突破行动，总结形成非金属矿找矿“石门经验”，助推“湘西北萤石、重晶石等特色非金属矿勘查区块优选”项目入选省级地质找矿项目库。临县赵家坪矿区石膏矿勘探项目探获资源量(探明+控制+推断)20236.0万吨，达到特大型规模，潜在经济价值达200亿元。该项目荣获2024 年度湖南省地质科技进步二等奖。主动服务常德市桃源县:益阳市桃江县金、锑、锰、钨等优势矿种勘查工作，高质量完成了一批地质勘查项目，牵头编写益阳市桃江县《矿业产业高质量发展规划(2025-2030)》。与各区县地方政府合作，评审备案了澧县闸口矿区建筑石料用灰岩矿、石门县黄旗峪矿区建筑用砂岩矿等小型勘查项目。完成临澧县荆岗膨润土矿勘查项目以及慈利县沙湾玻璃用石英砂岩矿勘探工作。与湖南楚天钡业有限公司合作，完成湖南省石门县太平街矿区太平重晶石矿阶段性资源储量核实项目。评审备案一批矿山闭坑地质、矿山生态修复、闭坑验收报告。主持编制常德地区约 75%的矿山储量年报，编审了多个涉及工程建设领域的资源量检测等相关技术报告。</w:t>
      </w:r>
    </w:p>
    <w:p w14:paraId="218052E7">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3" w:firstLineChars="200"/>
        <w:textAlignment w:val="auto"/>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（2）地灾防治成果突出</w:t>
      </w:r>
    </w:p>
    <w:p w14:paraId="7F50E7C0">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全力支撑常德、益阳、张家界等地 21个区县市的地灾防治工作成绩突出，派遣专家技术人员2000余人次，参与应急调查处置268处、巡查排查3161个点(段)、应急监测 1625 点次，有力应对主汛期9轮强降雨冲击，2起地灾成功避险案例在全国推广，慈利县“3.31”金慈街道长潭河村6 组泥(渣)石流灾害避险成功入选自然资源部2024年地质灾害成功避险典型案例。常德地灾中心、益阳地灾中心获地方自规部门来信致谢，1人获得桃源县抗洪抢险先进个人称号。协助地方申报落地 14 个增发国债地灾项目，合同金额总计6237万元;桃江、龙山两县 1:1万地质灾害调查与风险评价工作通过省级第一阶段验收。成功在省自然资源厅入库3个湖南省重大地质灾害治理项目。岳阳市、桃源县地质灾害“点面双控”试点工作开展有声有色，从工作方案到具体工作，多次得到省事务中心和桃源县局的肯定。</w:t>
      </w:r>
    </w:p>
    <w:p w14:paraId="43EC2FC1">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3" w:firstLineChars="200"/>
        <w:textAlignment w:val="auto"/>
        <w:rPr>
          <w:rFonts w:hint="default"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（3）技术服务定位精准</w:t>
      </w:r>
    </w:p>
    <w:p w14:paraId="46755A2F">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承担常德、益阳2024年度自然资源综合监测外业核查工作，协同常德市自然资源和规划局和各县局完成了历史遗留矿山年度图斑变更核工作。2024年度常德市国家地下水常规监测工作成果通过年度审查。成功助力申报的桃江县罗溪村全国地质文化村正式挂牌。紧密对接益阳、常德、长株潭地区，及岳阳、耒阳等地政府职能部门，在防灾减灾、矿产开发、生态环境等各方面，以扎实的地质技术支撑地方经济发展，取得了显著成效。</w:t>
      </w:r>
    </w:p>
    <w:p w14:paraId="45EF0A79">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3" w:firstLineChars="200"/>
        <w:textAlignment w:val="auto"/>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（4）绿色支撑作用凸显</w:t>
      </w:r>
    </w:p>
    <w:p w14:paraId="699B9944">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地质工程产业加快转型。紧扣城市更新政策导向，开展桩基施工等勘察工作。加强与长沙水业合作，承担猴子石水厂西区取水泵房跨湘江路天桥纠偏及加固工程项目。积极拓展浙江、广东等省外市场，中标惠东县一矿区EPC项目隧道工程，中标金额约2608万元。工程勘察产业与铁三院保持良好的业务关系，工作领域走向全国。服务生态文明建设能力提升。往年度承接的澧水流域历史遗留矿山生态修复(石门县域)项目通过了市级验收，取得了较好的经济和社会效益。</w:t>
      </w:r>
    </w:p>
    <w:p w14:paraId="0D2FEAAA">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3" w:firstLineChars="200"/>
        <w:textAlignment w:val="auto"/>
        <w:rPr>
          <w:rFonts w:hint="default"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4.能力建设蓄能升级</w:t>
      </w:r>
    </w:p>
    <w:p w14:paraId="4B22CD6C">
      <w:pPr>
        <w:pStyle w:val="2"/>
        <w:keepNext w:val="0"/>
        <w:keepLines w:val="0"/>
        <w:pageBreakBefore w:val="0"/>
        <w:kinsoku/>
        <w:wordWrap/>
        <w:overflowPunct/>
        <w:topLinePunct w:val="0"/>
        <w:autoSpaceDE/>
        <w:autoSpaceDN/>
        <w:bidi w:val="0"/>
        <w:adjustRightInd/>
        <w:snapToGrid/>
        <w:spacing w:before="193" w:line="300" w:lineRule="atLeast"/>
        <w:ind w:left="8" w:right="8" w:firstLine="646"/>
        <w:jc w:val="both"/>
        <w:textAlignment w:val="auto"/>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2024年，结合我所的人才、装备、技术实力现状，全面加强人才队伍建设，引进2名高层次人才与 11名结构化人才。2024年参加省院校招、自主校招，走访7 所高等院校，收集人才库信息650份，签订技术人才20余人:聚全所之力加强数字地质建设，耗资近600余万元添置科研技术装备，为我所城市地质工作夯实了坚实基础。几经打</w:t>
      </w:r>
      <w:r>
        <w:rPr>
          <w:rFonts w:hint="eastAsia" w:cs="仿宋"/>
          <w:color w:val="333333"/>
          <w:kern w:val="0"/>
          <w:sz w:val="32"/>
          <w:szCs w:val="32"/>
          <w:lang w:val="en-US" w:eastAsia="zh-CN" w:bidi="ar-SA"/>
        </w:rPr>
        <w:t>磨</w:t>
      </w:r>
      <w:r>
        <w:rPr>
          <w:rFonts w:hint="eastAsia" w:ascii="仿宋" w:hAnsi="仿宋" w:eastAsia="仿宋" w:cs="仿宋"/>
          <w:color w:val="333333"/>
          <w:kern w:val="0"/>
          <w:sz w:val="32"/>
          <w:szCs w:val="32"/>
          <w:lang w:val="en-US" w:eastAsia="zh-CN" w:bidi="ar-SA"/>
        </w:rPr>
        <w:t>、深度思考城市地质品牌建设，致力打造以“地质安城、城调致远”为品牌的湖南城市地质新形象。</w:t>
      </w:r>
    </w:p>
    <w:p w14:paraId="46FAEED9">
      <w:pPr>
        <w:pStyle w:val="2"/>
        <w:keepNext w:val="0"/>
        <w:keepLines w:val="0"/>
        <w:pageBreakBefore w:val="0"/>
        <w:kinsoku/>
        <w:wordWrap/>
        <w:overflowPunct/>
        <w:topLinePunct w:val="0"/>
        <w:autoSpaceDE/>
        <w:autoSpaceDN/>
        <w:bidi w:val="0"/>
        <w:adjustRightInd/>
        <w:snapToGrid/>
        <w:spacing w:before="193" w:line="300" w:lineRule="atLeast"/>
        <w:ind w:left="8" w:right="8" w:firstLine="646"/>
        <w:jc w:val="both"/>
        <w:textAlignment w:val="auto"/>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建实“科创+人才双引擎”，用好“一体两翼三支撑“地勘+科研双基金”，深融“三高四新”发展战略，启动湖南省工程技术研究中心申报重点工作，1个项目获评 2024 年度湖南省地质科技进步奖”二等奖，2篇优秀论文分别获评湖南省国土空间规划学会2024年度优秀论文一等奖、三等奖。3个项目获湖南省自然资源科研(标准)后补助项目立项，4 个项目获省院 2024 年度科研项目立项，4 位同志分获省院 2024 年度优秀科技工作者、省地质学会湖南省青年地质科技奖、省矿产资源学会优秀科技工作者等先进称号。</w:t>
      </w:r>
    </w:p>
    <w:p w14:paraId="5C529952">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3" w:firstLineChars="200"/>
        <w:jc w:val="left"/>
        <w:textAlignment w:val="auto"/>
        <w:rPr>
          <w:rFonts w:hint="eastAsia" w:ascii="仿宋" w:hAnsi="仿宋" w:eastAsia="仿宋" w:cs="仿宋"/>
          <w:b/>
          <w:bCs/>
          <w:color w:val="333333"/>
          <w:kern w:val="0"/>
          <w:sz w:val="32"/>
          <w:szCs w:val="32"/>
          <w:lang w:val="en-US" w:eastAsia="zh-CN"/>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存在的问题及原因分析</w:t>
      </w:r>
    </w:p>
    <w:p w14:paraId="38DA4130">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333333"/>
          <w:kern w:val="0"/>
          <w:sz w:val="32"/>
          <w:szCs w:val="32"/>
          <w:highlight w:val="yellow"/>
          <w:lang w:val="en-US" w:eastAsia="zh-CN"/>
        </w:rPr>
      </w:pPr>
      <w:r>
        <w:rPr>
          <w:rFonts w:hint="eastAsia" w:ascii="仿宋" w:hAnsi="仿宋" w:eastAsia="仿宋" w:cs="仿宋"/>
          <w:color w:val="333333"/>
          <w:kern w:val="0"/>
          <w:sz w:val="32"/>
          <w:szCs w:val="32"/>
          <w:lang w:val="en-US" w:eastAsia="zh-CN"/>
        </w:rPr>
        <w:t>一是项目资金结转结余比例</w:t>
      </w:r>
      <w:r>
        <w:rPr>
          <w:rFonts w:hint="eastAsia" w:ascii="仿宋" w:hAnsi="仿宋" w:eastAsia="仿宋" w:cs="仿宋"/>
          <w:color w:val="333333"/>
          <w:kern w:val="0"/>
          <w:sz w:val="32"/>
          <w:szCs w:val="32"/>
          <w:highlight w:val="none"/>
          <w:lang w:val="en-US" w:eastAsia="zh-CN"/>
        </w:rPr>
        <w:t>较大，2024年城调所项目资金指标下达2213.79万元，年底结转结余225.05万元。主要原因有：1.部分地质灾害和科研项目工作进展与资金下达时间不匹配，导致预算执行进度偏低（约占结转结余资金的56.59%）；2.专用设备购置招标代理采购时间过长，导致预算执行进度偏低（约占结转结余资金的43.41%）。</w:t>
      </w:r>
    </w:p>
    <w:p w14:paraId="04D52631">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二是基本支出预算拨款不足，只能保障单位部分人员费（含社会保障费）的支出，需市场经营弥补的支出缺口较大，负担较重。</w:t>
      </w:r>
    </w:p>
    <w:p w14:paraId="3E061BBF">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八、</w:t>
      </w:r>
      <w:r>
        <w:rPr>
          <w:rFonts w:hint="eastAsia" w:ascii="仿宋" w:hAnsi="仿宋" w:eastAsia="仿宋" w:cs="仿宋"/>
          <w:b/>
          <w:bCs/>
          <w:sz w:val="32"/>
          <w:szCs w:val="32"/>
        </w:rPr>
        <w:t>下一步改进措施</w:t>
      </w:r>
    </w:p>
    <w:p w14:paraId="78447B70">
      <w:pPr>
        <w:keepNext w:val="0"/>
        <w:keepLines w:val="0"/>
        <w:pageBreakBefore w:val="0"/>
        <w:widowControl/>
        <w:shd w:val="clear"/>
        <w:kinsoku/>
        <w:wordWrap/>
        <w:overflowPunct/>
        <w:topLinePunct w:val="0"/>
        <w:autoSpaceDE/>
        <w:autoSpaceDN/>
        <w:bidi w:val="0"/>
        <w:adjustRightInd/>
        <w:snapToGrid/>
        <w:spacing w:line="300" w:lineRule="atLeas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一是加大财政绩效评价工作的宣传和培训力度；加大部门整体支出绩效评价对单位各项工作的指导作用，提高预算编制的前瞻性和科学性，强化预算执行约束力，管好用好财政资金。二是进一步拓展市场，增强业务储备能力，提高经济发展质量。</w:t>
      </w:r>
    </w:p>
    <w:p w14:paraId="1F727CE3">
      <w:pPr>
        <w:keepNext w:val="0"/>
        <w:keepLines w:val="0"/>
        <w:pageBreakBefore w:val="0"/>
        <w:widowControl/>
        <w:numPr>
          <w:ilvl w:val="0"/>
          <w:numId w:val="5"/>
        </w:numPr>
        <w:shd w:val="clear"/>
        <w:kinsoku/>
        <w:wordWrap/>
        <w:overflowPunct/>
        <w:topLinePunct w:val="0"/>
        <w:autoSpaceDE/>
        <w:autoSpaceDN/>
        <w:bidi w:val="0"/>
        <w:adjustRightInd/>
        <w:snapToGrid/>
        <w:spacing w:line="300" w:lineRule="atLeas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部门整体支出绩效自评结果拟应用和公开情况</w:t>
      </w:r>
    </w:p>
    <w:p w14:paraId="7A689BD4">
      <w:pPr>
        <w:keepNext w:val="0"/>
        <w:keepLines w:val="0"/>
        <w:pageBreakBefore w:val="0"/>
        <w:widowControl/>
        <w:numPr>
          <w:ilvl w:val="0"/>
          <w:numId w:val="0"/>
        </w:numPr>
        <w:shd w:val="clear"/>
        <w:kinsoku/>
        <w:wordWrap/>
        <w:overflowPunct/>
        <w:topLinePunct w:val="0"/>
        <w:autoSpaceDE/>
        <w:autoSpaceDN/>
        <w:bidi w:val="0"/>
        <w:adjustRightInd/>
        <w:snapToGrid/>
        <w:spacing w:line="300" w:lineRule="atLeas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根据《湖南省财政厅关于开展202</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年度省级预算部门绩效自评和部门评价的通知》（湘财绩〔202</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2</w:t>
      </w:r>
      <w:r>
        <w:rPr>
          <w:rFonts w:hint="eastAsia" w:ascii="仿宋" w:hAnsi="仿宋" w:eastAsia="仿宋" w:cs="仿宋"/>
          <w:color w:val="333333"/>
          <w:kern w:val="0"/>
          <w:sz w:val="32"/>
          <w:szCs w:val="32"/>
        </w:rPr>
        <w:t>号）要求，202</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年绩效评价自评材料在我单位网站公开挂网。</w:t>
      </w:r>
    </w:p>
    <w:p w14:paraId="01613439">
      <w:pPr>
        <w:keepNext w:val="0"/>
        <w:keepLines w:val="0"/>
        <w:pageBreakBefore w:val="0"/>
        <w:widowControl/>
        <w:numPr>
          <w:ilvl w:val="0"/>
          <w:numId w:val="6"/>
        </w:numPr>
        <w:shd w:val="clear"/>
        <w:kinsoku/>
        <w:wordWrap/>
        <w:overflowPunct/>
        <w:topLinePunct w:val="0"/>
        <w:autoSpaceDE/>
        <w:autoSpaceDN/>
        <w:bidi w:val="0"/>
        <w:adjustRightInd/>
        <w:snapToGrid/>
        <w:spacing w:line="300" w:lineRule="atLeast"/>
        <w:ind w:firstLine="643" w:firstLineChars="200"/>
        <w:jc w:val="left"/>
        <w:textAlignment w:val="auto"/>
        <w:rPr>
          <w:rFonts w:hint="default" w:ascii="仿宋" w:hAnsi="仿宋" w:eastAsia="仿宋" w:cs="仿宋"/>
          <w:b/>
          <w:bCs/>
          <w:kern w:val="2"/>
          <w:sz w:val="32"/>
          <w:szCs w:val="32"/>
          <w:lang w:val="en-US" w:eastAsia="zh-CN" w:bidi="ar-SA"/>
        </w:rPr>
      </w:pPr>
      <w:r>
        <w:rPr>
          <w:rFonts w:hint="default" w:ascii="仿宋" w:hAnsi="仿宋" w:eastAsia="仿宋" w:cs="仿宋"/>
          <w:b/>
          <w:bCs/>
          <w:kern w:val="2"/>
          <w:sz w:val="32"/>
          <w:szCs w:val="32"/>
          <w:lang w:val="en-US" w:eastAsia="zh-CN" w:bidi="ar-SA"/>
        </w:rPr>
        <w:t>其他需要说明的情况</w:t>
      </w:r>
    </w:p>
    <w:p w14:paraId="12483036">
      <w:pPr>
        <w:keepNext w:val="0"/>
        <w:keepLines w:val="0"/>
        <w:pageBreakBefore w:val="0"/>
        <w:widowControl/>
        <w:shd w:val="clear"/>
        <w:kinsoku/>
        <w:wordWrap/>
        <w:overflowPunct/>
        <w:topLinePunct w:val="0"/>
        <w:autoSpaceDE/>
        <w:autoSpaceDN/>
        <w:bidi w:val="0"/>
        <w:adjustRightInd/>
        <w:snapToGrid/>
        <w:spacing w:line="300" w:lineRule="atLeast"/>
        <w:ind w:firstLine="640" w:firstLineChars="200"/>
        <w:jc w:val="left"/>
        <w:textAlignment w:val="auto"/>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无。</w:t>
      </w:r>
    </w:p>
    <w:p w14:paraId="29226296">
      <w:pPr>
        <w:keepNext w:val="0"/>
        <w:keepLines w:val="0"/>
        <w:pageBreakBefore w:val="0"/>
        <w:shd w:val="clear"/>
        <w:kinsoku/>
        <w:wordWrap/>
        <w:overflowPunct/>
        <w:topLinePunct w:val="0"/>
        <w:autoSpaceDE/>
        <w:autoSpaceDN/>
        <w:bidi w:val="0"/>
        <w:adjustRightInd/>
        <w:snapToGrid/>
        <w:spacing w:line="300" w:lineRule="atLeast"/>
        <w:textAlignment w:val="auto"/>
        <w:rPr>
          <w:rFonts w:hint="eastAsia" w:ascii="仿宋" w:hAnsi="仿宋" w:eastAsia="仿宋" w:cs="仿宋"/>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3659D"/>
    <w:multiLevelType w:val="singleLevel"/>
    <w:tmpl w:val="8DC3659D"/>
    <w:lvl w:ilvl="0" w:tentative="0">
      <w:start w:val="9"/>
      <w:numFmt w:val="chineseCounting"/>
      <w:suff w:val="nothing"/>
      <w:lvlText w:val="%1、"/>
      <w:lvlJc w:val="left"/>
      <w:rPr>
        <w:rFonts w:hint="eastAsia"/>
      </w:rPr>
    </w:lvl>
  </w:abstractNum>
  <w:abstractNum w:abstractNumId="1">
    <w:nsid w:val="9B2C79F5"/>
    <w:multiLevelType w:val="singleLevel"/>
    <w:tmpl w:val="9B2C79F5"/>
    <w:lvl w:ilvl="0" w:tentative="0">
      <w:start w:val="1"/>
      <w:numFmt w:val="chineseCounting"/>
      <w:suff w:val="nothing"/>
      <w:lvlText w:val="%1、"/>
      <w:lvlJc w:val="left"/>
      <w:rPr>
        <w:rFonts w:hint="eastAsia"/>
      </w:rPr>
    </w:lvl>
  </w:abstractNum>
  <w:abstractNum w:abstractNumId="2">
    <w:nsid w:val="B6674E5C"/>
    <w:multiLevelType w:val="singleLevel"/>
    <w:tmpl w:val="B6674E5C"/>
    <w:lvl w:ilvl="0" w:tentative="0">
      <w:start w:val="1"/>
      <w:numFmt w:val="chineseCounting"/>
      <w:suff w:val="nothing"/>
      <w:lvlText w:val="（%1）"/>
      <w:lvlJc w:val="left"/>
      <w:rPr>
        <w:rFonts w:hint="eastAsia"/>
      </w:rPr>
    </w:lvl>
  </w:abstractNum>
  <w:abstractNum w:abstractNumId="3">
    <w:nsid w:val="B76EFF82"/>
    <w:multiLevelType w:val="singleLevel"/>
    <w:tmpl w:val="B76EFF82"/>
    <w:lvl w:ilvl="0" w:tentative="0">
      <w:start w:val="10"/>
      <w:numFmt w:val="chineseCounting"/>
      <w:suff w:val="nothing"/>
      <w:lvlText w:val="%1、"/>
      <w:lvlJc w:val="left"/>
      <w:rPr>
        <w:rFonts w:hint="eastAsia"/>
      </w:rPr>
    </w:lvl>
  </w:abstractNum>
  <w:abstractNum w:abstractNumId="4">
    <w:nsid w:val="C9D9C032"/>
    <w:multiLevelType w:val="singleLevel"/>
    <w:tmpl w:val="C9D9C032"/>
    <w:lvl w:ilvl="0" w:tentative="0">
      <w:start w:val="1"/>
      <w:numFmt w:val="chineseCounting"/>
      <w:suff w:val="nothing"/>
      <w:lvlText w:val="（%1）"/>
      <w:lvlJc w:val="left"/>
      <w:rPr>
        <w:rFonts w:hint="eastAsia"/>
      </w:rPr>
    </w:lvl>
  </w:abstractNum>
  <w:abstractNum w:abstractNumId="5">
    <w:nsid w:val="6A9A72E2"/>
    <w:multiLevelType w:val="singleLevel"/>
    <w:tmpl w:val="6A9A72E2"/>
    <w:lvl w:ilvl="0" w:tentative="0">
      <w:start w:val="6"/>
      <w:numFmt w:val="chineseCounting"/>
      <w:suff w:val="nothing"/>
      <w:lvlText w:val="%1、"/>
      <w:lvlJc w:val="left"/>
      <w:rPr>
        <w:rFonts w:hint="eastAsia"/>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jE4NmQzZDQ5MThjOTk2ZjRmYWJlMTE2MjM2NjYifQ=="/>
  </w:docVars>
  <w:rsids>
    <w:rsidRoot w:val="509600D5"/>
    <w:rsid w:val="05C72C4A"/>
    <w:rsid w:val="0BFC5962"/>
    <w:rsid w:val="0CDA7707"/>
    <w:rsid w:val="0D112A9C"/>
    <w:rsid w:val="0D73027E"/>
    <w:rsid w:val="0E1B117A"/>
    <w:rsid w:val="0E672FAC"/>
    <w:rsid w:val="118B1258"/>
    <w:rsid w:val="13B76DC6"/>
    <w:rsid w:val="15014916"/>
    <w:rsid w:val="156333CA"/>
    <w:rsid w:val="160873AB"/>
    <w:rsid w:val="19D83B61"/>
    <w:rsid w:val="1CC13C34"/>
    <w:rsid w:val="1CE56F5A"/>
    <w:rsid w:val="1E5C5E74"/>
    <w:rsid w:val="1FDD4870"/>
    <w:rsid w:val="251A6C7D"/>
    <w:rsid w:val="2615575C"/>
    <w:rsid w:val="26236A53"/>
    <w:rsid w:val="27B2476D"/>
    <w:rsid w:val="2F6007DB"/>
    <w:rsid w:val="327C67B4"/>
    <w:rsid w:val="365210DB"/>
    <w:rsid w:val="3AE45E26"/>
    <w:rsid w:val="3BB73149"/>
    <w:rsid w:val="3C8822AA"/>
    <w:rsid w:val="3E477AF3"/>
    <w:rsid w:val="41A002C0"/>
    <w:rsid w:val="49344DBE"/>
    <w:rsid w:val="4F190D30"/>
    <w:rsid w:val="50077C6A"/>
    <w:rsid w:val="509600D5"/>
    <w:rsid w:val="50F139C0"/>
    <w:rsid w:val="57D66FE3"/>
    <w:rsid w:val="585F1E8C"/>
    <w:rsid w:val="5A9A3EC7"/>
    <w:rsid w:val="5C853E3A"/>
    <w:rsid w:val="5D673D10"/>
    <w:rsid w:val="5F457178"/>
    <w:rsid w:val="63B56AD7"/>
    <w:rsid w:val="649D1C6C"/>
    <w:rsid w:val="6C8212DE"/>
    <w:rsid w:val="6C9934FC"/>
    <w:rsid w:val="6E16068F"/>
    <w:rsid w:val="77161AF2"/>
    <w:rsid w:val="78785109"/>
    <w:rsid w:val="79F64FCC"/>
    <w:rsid w:val="7C280F80"/>
    <w:rsid w:val="7CF6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4954</Words>
  <Characters>6204</Characters>
  <Lines>0</Lines>
  <Paragraphs>0</Paragraphs>
  <TotalTime>8</TotalTime>
  <ScaleCrop>false</ScaleCrop>
  <LinksUpToDate>false</LinksUpToDate>
  <CharactersWithSpaces>6346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2023-04-10T02:19:00Z</dcterms:created>
  <dc:creator>姚娟</dc:creator>
  <cp:lastModifiedBy>Aim</cp:lastModifiedBy>
  <dcterms:modified xsi:type="dcterms:W3CDTF">2025-04-03T06:17:54Z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C989315CEF534F33B6CB905325191878_13</vt:lpwstr>
  </property>
  <property fmtid="{D5CDD505-2E9C-101B-9397-08002B2CF9AE}" pid="4" name="KSOTemplateDocerSaveRecord">
    <vt:lpwstr>eyJoZGlkIjoiMTZhNzU5N2Q1ZjE2ZGMyODQ3ODM2YTcwZDUwOTg4M2UiLCJ1c2VySWQiOiI2NDA1NjUzMzEifQ==</vt:lpwstr>
  </property>
</Properties>
</file>