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snapToGrid w:val="0"/>
        <w:ind w:firstLine="720"/>
        <w:jc w:val="center"/>
        <w:rPr>
          <w:rFonts w:eastAsia="方正小标宋简体"/>
          <w:color w:val="000000"/>
          <w:sz w:val="36"/>
          <w:szCs w:val="36"/>
        </w:rPr>
      </w:pPr>
      <w:bookmarkStart w:id="2" w:name="_GoBack"/>
      <w:r>
        <w:rPr>
          <w:rFonts w:eastAsia="方正小标宋简体"/>
          <w:color w:val="000000"/>
          <w:sz w:val="36"/>
          <w:szCs w:val="36"/>
        </w:rPr>
        <w:t>2022</w:t>
      </w:r>
      <w:r>
        <w:rPr>
          <w:rFonts w:hint="eastAsia" w:eastAsia="方正小标宋简体"/>
          <w:color w:val="000000"/>
          <w:sz w:val="36"/>
          <w:szCs w:val="36"/>
        </w:rPr>
        <w:t>年度部门整体支出绩效自评表</w:t>
      </w:r>
      <w:bookmarkEnd w:id="2"/>
    </w:p>
    <w:tbl>
      <w:tblPr>
        <w:tblStyle w:val="4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60"/>
        <w:gridCol w:w="709"/>
        <w:gridCol w:w="1235"/>
        <w:gridCol w:w="324"/>
        <w:gridCol w:w="1559"/>
        <w:gridCol w:w="1905"/>
        <w:gridCol w:w="647"/>
        <w:gridCol w:w="962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预算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部门名称</w:t>
            </w:r>
          </w:p>
        </w:tc>
        <w:tc>
          <w:tcPr>
            <w:tcW w:w="94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湖南省自然资源调查所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年度预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算申请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(</w:t>
            </w:r>
            <w:r>
              <w:rPr>
                <w:rFonts w:hint="eastAsia" w:eastAsia="仿宋_GB2312"/>
                <w:color w:val="000000"/>
                <w:szCs w:val="21"/>
              </w:rPr>
              <w:t>万元</w:t>
            </w:r>
            <w:r>
              <w:rPr>
                <w:rFonts w:eastAsia="仿宋_GB2312"/>
                <w:color w:val="000000"/>
                <w:szCs w:val="21"/>
              </w:rPr>
              <w:t>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年初预算数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全年预算数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全年执行数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分值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执行率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bookmarkStart w:id="0" w:name="_Hlk42853963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" w:leftChars="-40" w:hanging="123" w:hangingChars="59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年度资金总额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" w:leftChars="-40" w:hanging="123" w:hangingChars="5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21845.68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" w:leftChars="-40" w:hanging="123" w:hangingChars="5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29095.79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9" w:leftChars="-40" w:hanging="123" w:hangingChars="59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28627.62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9" w:leftChars="-40" w:hanging="123" w:hangingChars="59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9" w:leftChars="-40" w:hanging="123" w:hangingChars="59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98%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" w:leftChars="-40" w:hanging="123" w:hangingChars="59"/>
              <w:jc w:val="center"/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" w:leftChars="-40" w:hanging="123" w:hangingChars="59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按收入性质分：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" w:leftChars="-40" w:hanging="123" w:hangingChars="59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其中：一般公共预算：</w:t>
            </w:r>
            <w:r>
              <w:rPr>
                <w:rFonts w:eastAsia="仿宋_GB2312"/>
                <w:color w:val="000000"/>
                <w:szCs w:val="21"/>
              </w:rPr>
              <w:t>17760.34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其中：基本支出：</w:t>
            </w:r>
            <w:r>
              <w:rPr>
                <w:rFonts w:eastAsia="仿宋_GB2312"/>
                <w:color w:val="000000"/>
                <w:szCs w:val="21"/>
              </w:rPr>
              <w:t>13745.78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" w:leftChars="10" w:firstLine="315" w:firstLineChars="15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政府性基金拨款：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项目支出：</w:t>
            </w:r>
            <w:r>
              <w:rPr>
                <w:rFonts w:eastAsia="仿宋_GB2312"/>
                <w:color w:val="000000"/>
                <w:szCs w:val="21"/>
              </w:rPr>
              <w:t>4126.35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纳入专户管理的非税收入拨款：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6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其他资金：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年度总体目标</w:t>
            </w:r>
          </w:p>
        </w:tc>
        <w:tc>
          <w:tcPr>
            <w:tcW w:w="46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预期目标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bookmarkStart w:id="1" w:name="_Hlk42849982"/>
          </w:p>
        </w:tc>
        <w:tc>
          <w:tcPr>
            <w:tcW w:w="46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坚持以习近平新时代中国特色社会主义思想为指导，深入贯彻习近平总书记对湖南重要讲话重要指示批示精神，全面落实“三高四新”战略定位和使命任务，紧紧围绕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湖南地质事业高质量发展战略目标及“一体两翼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三支撑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”战略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部署，聚焦主责主业，强化事业职能，加快创新引领，解放思想，深化改革，防范风险，完成省院下达的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我所的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各项评价指标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坚持以习近平新时代中国特色社会主义思想为指导，深入贯彻习近平总书记对湖南重要讲话重要指示批示精神，全面落实“三高四新”战略定位和使命任务，紧紧围绕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湖南地质事业高质量发展战略目标及“一体两翼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三支撑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”战略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部署，聚焦主责主业，强化事业职能，加快创新引领，解放思想，深化改革，防范风险，一年来下大力气抓经济、抓项目、抓管理、抓民生，推动各项工作再上新台阶圆满完成了省院下达的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我所的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各项评价指标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。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绩效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二级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三级指标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年度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指标值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实际完成值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分值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得分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产出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50</w:t>
            </w:r>
            <w:r>
              <w:rPr>
                <w:rFonts w:hint="eastAsia" w:eastAsia="仿宋_GB2312"/>
                <w:color w:val="000000"/>
                <w:szCs w:val="21"/>
              </w:rPr>
              <w:t>分）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数量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预算配置控制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不超编制数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超编制数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地勘单位改革原因造成人员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超编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项目管理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是否有新建楼房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否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小于上年数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三公经费控制率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小于上年数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政府采购执行率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预算控制率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小于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27%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质量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资金使用合规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资金拨付审批程序完整、项目的重大开支经集体决策程序、资金实际用途与预算批复相一致、不存在截留、挤占、挪用、虚列支出。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资金拨付审批程序完整、项目的重大开支经集体决策程序、资金实际用途与预算批复相一致、不存在截留、挤占、挪用、虚列支出。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管理制度健全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666666"/>
                <w:spacing w:val="0"/>
                <w:sz w:val="19"/>
                <w:szCs w:val="19"/>
                <w:shd w:val="clear" w:fill="FFFFFF"/>
              </w:rPr>
              <w:t>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理制度健全、内容完整，得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分；制度有缺失或者制度存在明显缺陷每项目扣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0.5分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666666"/>
                <w:spacing w:val="0"/>
                <w:sz w:val="19"/>
                <w:szCs w:val="19"/>
                <w:shd w:val="clear" w:fill="FFFFFF"/>
              </w:rPr>
              <w:t>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理制度健全、内容完整。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时效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职现履行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成本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指标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  <w:t>厉行节约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效益指标（</w:t>
            </w:r>
            <w:r>
              <w:rPr>
                <w:rFonts w:eastAsia="仿宋_GB2312"/>
                <w:color w:val="00000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szCs w:val="21"/>
              </w:rPr>
              <w:t>分）</w:t>
            </w:r>
          </w:p>
          <w:p>
            <w:pPr>
              <w:ind w:left="-69" w:leftChars="-33" w:right="-71" w:rightChars="-34"/>
              <w:jc w:val="both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经济效益指标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国有资产保值增值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税后净利润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700万元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税后净利润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703.13万元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left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社会效益指标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事业效能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地勘单位改革期间，维护队伍和谐稳定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right="-71" w:rightChars="-34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可持续影响指标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18"/>
                <w:szCs w:val="18"/>
              </w:rPr>
              <w:t>项目工程有效时间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长期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长期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满意度指标</w:t>
            </w:r>
          </w:p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szCs w:val="21"/>
              </w:rPr>
              <w:t>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服务对象满意度指标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</w:rPr>
              <w:t>涉及人员对项目的满意度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</w:rPr>
              <w:t>满意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</w:rPr>
              <w:t>满意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69" w:leftChars="-33" w:right="-71" w:rightChars="-34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总分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97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rPr>
          <w:rFonts w:eastAsia="仿宋_GB2312"/>
          <w:color w:val="000000"/>
          <w:szCs w:val="21"/>
        </w:rPr>
      </w:pPr>
    </w:p>
    <w:p>
      <w:r>
        <w:rPr>
          <w:rFonts w:hint="eastAsia" w:eastAsia="仿宋_GB2312"/>
          <w:color w:val="000000"/>
          <w:szCs w:val="21"/>
        </w:rPr>
        <w:t>填表人：</w:t>
      </w:r>
      <w:r>
        <w:rPr>
          <w:rFonts w:eastAsia="仿宋_GB2312"/>
          <w:color w:val="000000"/>
          <w:szCs w:val="21"/>
        </w:rPr>
        <w:t xml:space="preserve">          </w:t>
      </w:r>
      <w:r>
        <w:rPr>
          <w:rFonts w:hint="eastAsia" w:eastAsia="仿宋_GB2312"/>
          <w:color w:val="000000"/>
          <w:szCs w:val="21"/>
        </w:rPr>
        <w:t>填报日期：</w:t>
      </w:r>
      <w:r>
        <w:rPr>
          <w:rFonts w:eastAsia="仿宋_GB2312"/>
          <w:color w:val="000000"/>
          <w:szCs w:val="21"/>
        </w:rPr>
        <w:t xml:space="preserve">        </w:t>
      </w:r>
      <w:r>
        <w:rPr>
          <w:rFonts w:hint="eastAsia" w:eastAsia="仿宋_GB2312"/>
          <w:color w:val="000000"/>
          <w:szCs w:val="21"/>
        </w:rPr>
        <w:t>联系电话：</w:t>
      </w:r>
      <w:r>
        <w:rPr>
          <w:rFonts w:eastAsia="仿宋_GB2312"/>
          <w:color w:val="000000"/>
          <w:szCs w:val="21"/>
        </w:rPr>
        <w:t xml:space="preserve">          </w:t>
      </w:r>
      <w:r>
        <w:rPr>
          <w:rFonts w:hint="eastAsia" w:eastAsia="仿宋_GB2312"/>
          <w:color w:val="00000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658F3FED"/>
    <w:rsid w:val="00153175"/>
    <w:rsid w:val="00320E75"/>
    <w:rsid w:val="00363F1B"/>
    <w:rsid w:val="00845F66"/>
    <w:rsid w:val="009F2EE6"/>
    <w:rsid w:val="00A85993"/>
    <w:rsid w:val="164D1893"/>
    <w:rsid w:val="382B7A59"/>
    <w:rsid w:val="4F4942EA"/>
    <w:rsid w:val="658F3FED"/>
    <w:rsid w:val="6F5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1019</Words>
  <Characters>1106</Characters>
  <Lines>0</Lines>
  <Paragraphs>0</Paragraphs>
  <TotalTime>2</TotalTime>
  <ScaleCrop>false</ScaleCrop>
  <LinksUpToDate>false</LinksUpToDate>
  <CharactersWithSpaces>1134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2023-04-10T07:17:00Z</dcterms:created>
  <dc:creator>lenovo</dc:creator>
  <cp:lastModifiedBy>姚岑</cp:lastModifiedBy>
  <dcterms:modified xsi:type="dcterms:W3CDTF">2023-06-28T02:00:10Z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F3DACF5F601E4C3C878FDB1F53206A0F_12</vt:lpwstr>
  </property>
</Properties>
</file>