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BDCD3">
      <w:pPr>
        <w:pStyle w:val="11"/>
        <w:jc w:val="center"/>
        <w:rPr>
          <w:sz w:val="56"/>
          <w:szCs w:val="56"/>
        </w:rPr>
      </w:pPr>
    </w:p>
    <w:p w14:paraId="7B346CBB">
      <w:pPr>
        <w:pStyle w:val="11"/>
        <w:jc w:val="center"/>
        <w:rPr>
          <w:sz w:val="56"/>
          <w:szCs w:val="56"/>
        </w:rPr>
      </w:pPr>
    </w:p>
    <w:p w14:paraId="4D16BC16">
      <w:pPr>
        <w:pStyle w:val="11"/>
        <w:jc w:val="center"/>
        <w:rPr>
          <w:sz w:val="84"/>
          <w:szCs w:val="84"/>
        </w:rPr>
      </w:pPr>
    </w:p>
    <w:p w14:paraId="3B0FC4A3">
      <w:pPr>
        <w:pStyle w:val="11"/>
        <w:jc w:val="center"/>
        <w:rPr>
          <w:sz w:val="84"/>
          <w:szCs w:val="84"/>
        </w:rPr>
      </w:pPr>
    </w:p>
    <w:p w14:paraId="21593BE8">
      <w:pPr>
        <w:pStyle w:val="11"/>
        <w:jc w:val="center"/>
        <w:rPr>
          <w:sz w:val="72"/>
          <w:szCs w:val="72"/>
        </w:rPr>
      </w:pPr>
      <w:r>
        <w:rPr>
          <w:rFonts w:hint="eastAsia"/>
          <w:sz w:val="72"/>
          <w:szCs w:val="72"/>
        </w:rPr>
        <w:t>2021年度</w:t>
      </w:r>
    </w:p>
    <w:p w14:paraId="45D9CF7A">
      <w:pPr>
        <w:pStyle w:val="11"/>
        <w:jc w:val="center"/>
        <w:rPr>
          <w:sz w:val="72"/>
          <w:szCs w:val="72"/>
        </w:rPr>
      </w:pPr>
      <w:r>
        <w:rPr>
          <w:rFonts w:hint="eastAsia"/>
          <w:sz w:val="72"/>
          <w:szCs w:val="72"/>
        </w:rPr>
        <w:t>湖南省地质矿产勘查开发局</w:t>
      </w:r>
    </w:p>
    <w:p w14:paraId="4E775F89">
      <w:pPr>
        <w:pStyle w:val="11"/>
        <w:jc w:val="center"/>
        <w:rPr>
          <w:sz w:val="72"/>
          <w:szCs w:val="72"/>
        </w:rPr>
      </w:pPr>
      <w:r>
        <w:rPr>
          <w:rFonts w:hint="eastAsia"/>
          <w:sz w:val="72"/>
          <w:szCs w:val="72"/>
        </w:rPr>
        <w:t>四0三队部门决算</w:t>
      </w:r>
    </w:p>
    <w:p w14:paraId="7ACE158D">
      <w:pPr>
        <w:pStyle w:val="11"/>
        <w:jc w:val="center"/>
        <w:rPr>
          <w:sz w:val="84"/>
          <w:szCs w:val="84"/>
        </w:rPr>
      </w:pPr>
    </w:p>
    <w:p w14:paraId="4D671939">
      <w:pPr>
        <w:pStyle w:val="11"/>
        <w:jc w:val="center"/>
        <w:rPr>
          <w:sz w:val="56"/>
          <w:szCs w:val="56"/>
        </w:rPr>
      </w:pPr>
    </w:p>
    <w:p w14:paraId="73F353D4">
      <w:pPr>
        <w:pStyle w:val="11"/>
        <w:jc w:val="center"/>
        <w:rPr>
          <w:sz w:val="56"/>
          <w:szCs w:val="56"/>
        </w:rPr>
      </w:pPr>
    </w:p>
    <w:p w14:paraId="15702324">
      <w:pPr>
        <w:pStyle w:val="11"/>
        <w:jc w:val="center"/>
        <w:rPr>
          <w:sz w:val="56"/>
          <w:szCs w:val="56"/>
        </w:rPr>
      </w:pPr>
    </w:p>
    <w:p w14:paraId="03983BED">
      <w:pPr>
        <w:pStyle w:val="11"/>
        <w:jc w:val="center"/>
        <w:rPr>
          <w:sz w:val="56"/>
          <w:szCs w:val="56"/>
        </w:rPr>
      </w:pPr>
    </w:p>
    <w:p w14:paraId="4AF094EC">
      <w:pPr>
        <w:pStyle w:val="11"/>
        <w:jc w:val="center"/>
        <w:rPr>
          <w:sz w:val="32"/>
          <w:szCs w:val="32"/>
        </w:rPr>
      </w:pPr>
    </w:p>
    <w:p w14:paraId="4273A8F8">
      <w:pPr>
        <w:pStyle w:val="11"/>
        <w:jc w:val="center"/>
        <w:rPr>
          <w:sz w:val="32"/>
          <w:szCs w:val="32"/>
        </w:rPr>
      </w:pPr>
    </w:p>
    <w:p w14:paraId="3B4FE148">
      <w:pPr>
        <w:pStyle w:val="11"/>
        <w:jc w:val="center"/>
        <w:rPr>
          <w:sz w:val="32"/>
          <w:szCs w:val="32"/>
        </w:rPr>
      </w:pPr>
    </w:p>
    <w:p w14:paraId="0F422788">
      <w:pPr>
        <w:pStyle w:val="11"/>
        <w:jc w:val="center"/>
        <w:rPr>
          <w:sz w:val="32"/>
          <w:szCs w:val="32"/>
        </w:rPr>
      </w:pPr>
    </w:p>
    <w:p w14:paraId="3B19FA1A">
      <w:pPr>
        <w:pStyle w:val="11"/>
        <w:spacing w:line="500" w:lineRule="exact"/>
        <w:jc w:val="both"/>
        <w:rPr>
          <w:b/>
          <w:sz w:val="36"/>
          <w:szCs w:val="28"/>
        </w:rPr>
      </w:pPr>
    </w:p>
    <w:p w14:paraId="4286CC09">
      <w:pPr>
        <w:pStyle w:val="11"/>
        <w:spacing w:line="500" w:lineRule="exact"/>
        <w:jc w:val="center"/>
        <w:rPr>
          <w:b/>
          <w:sz w:val="36"/>
          <w:szCs w:val="28"/>
        </w:rPr>
      </w:pPr>
      <w:r>
        <w:rPr>
          <w:rFonts w:hint="eastAsia"/>
          <w:b/>
          <w:sz w:val="36"/>
          <w:szCs w:val="28"/>
        </w:rPr>
        <w:t>目录</w:t>
      </w:r>
    </w:p>
    <w:p w14:paraId="579FCD60">
      <w:pPr>
        <w:pStyle w:val="11"/>
        <w:spacing w:line="500" w:lineRule="exact"/>
        <w:rPr>
          <w:rFonts w:ascii="仿宋_GB2312" w:hAnsi="仿宋_GB2312" w:cs="仿宋_GB2312"/>
          <w:b/>
          <w:sz w:val="28"/>
          <w:szCs w:val="28"/>
        </w:rPr>
      </w:pPr>
      <w:r>
        <w:rPr>
          <w:rFonts w:hint="eastAsia"/>
          <w:b/>
          <w:sz w:val="28"/>
          <w:szCs w:val="28"/>
        </w:rPr>
        <w:t>第一部分湖南省地质矿产勘查开发局四〇三队概况</w:t>
      </w:r>
    </w:p>
    <w:p w14:paraId="1681E7C8">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14:paraId="71E8E43A">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14:paraId="57F587CF">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14:paraId="77E8FD32">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14:paraId="517722F2">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14:paraId="59105A13">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14:paraId="3BE8F272">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14:paraId="70549985">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14:paraId="4179461A">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14:paraId="14FFF72E">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14:paraId="0AFFFBAA">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14:paraId="2E805A3C">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14:paraId="48ACD5FC">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14:paraId="22ECEC68">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14:paraId="7A5F04F1">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14:paraId="6FC71A3A">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14:paraId="297AA2A5">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14:paraId="42B52016">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14:paraId="0A7C272E">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14:paraId="77024D75">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14:paraId="67504FAA">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14:paraId="3549CDEA">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14:paraId="01F639E5">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14:paraId="164D55D9">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14:paraId="19C344C7">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14:paraId="676774E3">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14:paraId="7CA2E61C">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14:paraId="485B9F2E">
      <w:pPr>
        <w:autoSpaceDE w:val="0"/>
        <w:autoSpaceDN w:val="0"/>
        <w:adjustRightInd w:val="0"/>
        <w:spacing w:line="500" w:lineRule="exact"/>
        <w:jc w:val="left"/>
        <w:rPr>
          <w:sz w:val="72"/>
          <w:szCs w:val="72"/>
        </w:rPr>
      </w:pPr>
      <w:r>
        <w:rPr>
          <w:rFonts w:hint="eastAsia" w:ascii="黑体" w:hAnsi="黑体" w:eastAsia="黑体" w:cs="黑体"/>
          <w:b/>
          <w:color w:val="000000"/>
          <w:kern w:val="0"/>
          <w:sz w:val="28"/>
          <w:szCs w:val="28"/>
        </w:rPr>
        <w:t>第五部分附件</w:t>
      </w:r>
    </w:p>
    <w:p w14:paraId="0E12751A">
      <w:pPr>
        <w:pStyle w:val="11"/>
        <w:jc w:val="center"/>
        <w:rPr>
          <w:rFonts w:hint="eastAsia"/>
          <w:sz w:val="84"/>
          <w:szCs w:val="84"/>
        </w:rPr>
      </w:pPr>
    </w:p>
    <w:p w14:paraId="5D16F5C3">
      <w:pPr>
        <w:pStyle w:val="11"/>
        <w:jc w:val="center"/>
        <w:rPr>
          <w:rFonts w:hint="eastAsia"/>
          <w:sz w:val="84"/>
          <w:szCs w:val="84"/>
        </w:rPr>
      </w:pPr>
    </w:p>
    <w:p w14:paraId="27BD783B">
      <w:pPr>
        <w:pStyle w:val="11"/>
        <w:jc w:val="center"/>
        <w:rPr>
          <w:rFonts w:hint="eastAsia"/>
          <w:sz w:val="84"/>
          <w:szCs w:val="84"/>
        </w:rPr>
      </w:pPr>
    </w:p>
    <w:p w14:paraId="36F23CD5">
      <w:pPr>
        <w:pStyle w:val="11"/>
        <w:jc w:val="center"/>
        <w:rPr>
          <w:rFonts w:hint="eastAsia"/>
          <w:sz w:val="84"/>
          <w:szCs w:val="84"/>
        </w:rPr>
      </w:pPr>
    </w:p>
    <w:p w14:paraId="2ED5C71B">
      <w:pPr>
        <w:pStyle w:val="11"/>
        <w:jc w:val="center"/>
        <w:rPr>
          <w:sz w:val="84"/>
          <w:szCs w:val="84"/>
        </w:rPr>
      </w:pPr>
      <w:r>
        <w:rPr>
          <w:rFonts w:hint="eastAsia"/>
          <w:sz w:val="84"/>
          <w:szCs w:val="84"/>
        </w:rPr>
        <w:t>第一部分</w:t>
      </w:r>
      <w:r>
        <w:rPr>
          <w:sz w:val="84"/>
          <w:szCs w:val="84"/>
        </w:rPr>
        <w:t xml:space="preserve"> </w:t>
      </w:r>
    </w:p>
    <w:p w14:paraId="0C195150">
      <w:pPr>
        <w:pStyle w:val="11"/>
        <w:jc w:val="center"/>
        <w:rPr>
          <w:sz w:val="84"/>
          <w:szCs w:val="84"/>
        </w:rPr>
      </w:pPr>
    </w:p>
    <w:p w14:paraId="60872B2F">
      <w:pPr>
        <w:pStyle w:val="11"/>
        <w:jc w:val="center"/>
        <w:rPr>
          <w:rFonts w:hint="eastAsia"/>
          <w:sz w:val="84"/>
          <w:szCs w:val="84"/>
        </w:rPr>
      </w:pPr>
      <w:r>
        <w:rPr>
          <w:rFonts w:hint="eastAsia"/>
          <w:sz w:val="84"/>
          <w:szCs w:val="84"/>
        </w:rPr>
        <w:t>湖南省地质矿产勘查开发局四0三队单位概况</w:t>
      </w:r>
    </w:p>
    <w:p w14:paraId="36F05FEF">
      <w:pPr>
        <w:pStyle w:val="11"/>
        <w:jc w:val="center"/>
        <w:rPr>
          <w:rFonts w:hint="eastAsia"/>
          <w:sz w:val="84"/>
          <w:szCs w:val="84"/>
        </w:rPr>
      </w:pPr>
    </w:p>
    <w:p w14:paraId="0382D0BF">
      <w:pPr>
        <w:pStyle w:val="11"/>
        <w:jc w:val="center"/>
        <w:rPr>
          <w:rFonts w:hint="eastAsia"/>
          <w:sz w:val="84"/>
          <w:szCs w:val="84"/>
        </w:rPr>
      </w:pPr>
    </w:p>
    <w:p w14:paraId="7588F660">
      <w:pPr>
        <w:pStyle w:val="11"/>
        <w:jc w:val="center"/>
        <w:rPr>
          <w:rFonts w:hint="eastAsia"/>
          <w:sz w:val="84"/>
          <w:szCs w:val="84"/>
        </w:rPr>
      </w:pPr>
    </w:p>
    <w:p w14:paraId="56EDC99F">
      <w:pPr>
        <w:pStyle w:val="11"/>
        <w:jc w:val="both"/>
        <w:rPr>
          <w:rFonts w:hint="eastAsia"/>
          <w:sz w:val="84"/>
          <w:szCs w:val="84"/>
        </w:rPr>
      </w:pPr>
    </w:p>
    <w:p w14:paraId="66AE1EE6">
      <w:pPr>
        <w:pStyle w:val="12"/>
        <w:numPr>
          <w:ilvl w:val="0"/>
          <w:numId w:val="1"/>
        </w:numPr>
        <w:ind w:hanging="11" w:firstLineChars="0"/>
        <w:jc w:val="left"/>
        <w:rPr>
          <w:rFonts w:ascii="黑体" w:hAnsi="黑体" w:eastAsia="黑体"/>
          <w:sz w:val="32"/>
          <w:szCs w:val="32"/>
        </w:rPr>
      </w:pPr>
      <w:r>
        <w:rPr>
          <w:rFonts w:ascii="黑体" w:hAnsi="黑体" w:eastAsia="黑体"/>
          <w:sz w:val="32"/>
          <w:szCs w:val="32"/>
        </w:rPr>
        <w:t>部门职责</w:t>
      </w:r>
    </w:p>
    <w:p w14:paraId="0CB73433">
      <w:pPr>
        <w:pStyle w:val="5"/>
        <w:widowControl/>
        <w:shd w:val="clear"/>
        <w:spacing w:before="0" w:beforeAutospacing="0" w:after="0" w:afterAutospacing="0"/>
        <w:ind w:firstLine="560" w:firstLineChars="200"/>
        <w:rPr>
          <w:rFonts w:ascii="仿宋" w:hAnsi="仿宋" w:eastAsia="仿宋" w:cs="仿宋"/>
          <w:kern w:val="2"/>
          <w:sz w:val="28"/>
          <w:szCs w:val="28"/>
        </w:rPr>
      </w:pPr>
      <w:r>
        <w:rPr>
          <w:rFonts w:hint="eastAsia" w:asciiTheme="minorEastAsia" w:hAnsiTheme="minorEastAsia"/>
          <w:sz w:val="28"/>
          <w:szCs w:val="28"/>
        </w:rPr>
        <w:t>湖南省地质矿产勘查开发局四</w:t>
      </w:r>
      <w:r>
        <w:rPr>
          <w:rFonts w:hint="eastAsia" w:cs="微软雅黑" w:asciiTheme="minorEastAsia" w:hAnsiTheme="minorEastAsia"/>
          <w:sz w:val="28"/>
          <w:szCs w:val="28"/>
        </w:rPr>
        <w:t>0</w:t>
      </w:r>
      <w:r>
        <w:rPr>
          <w:rFonts w:hint="eastAsia" w:asciiTheme="minorEastAsia" w:hAnsiTheme="minorEastAsia"/>
          <w:sz w:val="28"/>
          <w:szCs w:val="28"/>
        </w:rPr>
        <w:t>三队为湖南省地质院所属二级预算单位，单位性质为财政补助事业单位，主要从事地质矿产勘查、水文地质与工程地质勘察、环境地质调查、地质灾害防治、基础施工、测量与地理信息工程、地质技术服务等业务。</w:t>
      </w:r>
      <w:r>
        <w:rPr>
          <w:rFonts w:asciiTheme="minorEastAsia" w:hAnsiTheme="minorEastAsia"/>
          <w:sz w:val="28"/>
          <w:szCs w:val="28"/>
        </w:rPr>
        <w:t>现拥有区域地质调查甲级、</w:t>
      </w:r>
      <w:r>
        <w:rPr>
          <w:rFonts w:hint="eastAsia" w:asciiTheme="minorEastAsia" w:hAnsiTheme="minorEastAsia"/>
          <w:sz w:val="28"/>
          <w:szCs w:val="28"/>
        </w:rPr>
        <w:t>固</w:t>
      </w:r>
      <w:r>
        <w:rPr>
          <w:rFonts w:asciiTheme="minorEastAsia" w:hAnsiTheme="minorEastAsia"/>
          <w:sz w:val="28"/>
          <w:szCs w:val="28"/>
        </w:rPr>
        <w:t>体矿产勘查甲级、气体矿产勘查甲级、地质钻探甲级、地灾治理工程勘查甲级、地灾治理工程施工甲级、地质灾害危险性评估甲级、地灾治理工程设计甲级、地灾治理工程监理乙级、地基与基础工程专业承包贰级、工程测量乙级、地质实验测试乙级等各类资质证书。</w:t>
      </w:r>
    </w:p>
    <w:p w14:paraId="761177B9">
      <w:pPr>
        <w:widowControl/>
        <w:spacing w:line="600" w:lineRule="exact"/>
        <w:ind w:firstLine="848" w:firstLineChars="265"/>
        <w:rPr>
          <w:rFonts w:ascii="黑体" w:hAnsi="黑体" w:eastAsia="黑体"/>
          <w:bCs/>
          <w:kern w:val="0"/>
          <w:sz w:val="32"/>
          <w:szCs w:val="32"/>
        </w:rPr>
      </w:pPr>
      <w:r>
        <w:rPr>
          <w:rFonts w:hint="eastAsia" w:ascii="黑体" w:hAnsi="黑体" w:eastAsia="黑体"/>
          <w:bCs/>
          <w:kern w:val="0"/>
          <w:sz w:val="32"/>
          <w:szCs w:val="32"/>
        </w:rPr>
        <w:t>二、机构设置及决算单位构成</w:t>
      </w:r>
    </w:p>
    <w:p w14:paraId="449DE242">
      <w:pPr>
        <w:ind w:firstLine="560" w:firstLineChars="200"/>
        <w:rPr>
          <w:rFonts w:asciiTheme="minorEastAsia" w:hAnsiTheme="minorEastAsia"/>
          <w:sz w:val="28"/>
          <w:szCs w:val="28"/>
        </w:rPr>
      </w:pPr>
      <w:r>
        <w:rPr>
          <w:rFonts w:hint="eastAsia" w:asciiTheme="minorEastAsia" w:hAnsiTheme="minorEastAsia"/>
          <w:bCs/>
          <w:kern w:val="0"/>
          <w:sz w:val="28"/>
          <w:szCs w:val="28"/>
        </w:rPr>
        <w:t>（一）内设机构设置。湖南省地质矿产勘查开发局四0三队内设机构包括：</w:t>
      </w:r>
      <w:r>
        <w:rPr>
          <w:rFonts w:hint="eastAsia" w:asciiTheme="minorEastAsia" w:hAnsiTheme="minorEastAsia"/>
          <w:sz w:val="28"/>
          <w:szCs w:val="28"/>
        </w:rPr>
        <w:t>党政办、财务资产科、监察审计科、经营科、劳动人事科、工会、退休办、安全保卫科、宣传科、组织科、总工办11个职能部门。</w:t>
      </w:r>
    </w:p>
    <w:p w14:paraId="5A57E1FD">
      <w:pPr>
        <w:widowControl/>
        <w:spacing w:line="600" w:lineRule="exact"/>
        <w:ind w:firstLine="560" w:firstLineChars="200"/>
        <w:rPr>
          <w:rFonts w:hint="eastAsia" w:asciiTheme="minorEastAsia" w:hAnsiTheme="minorEastAsia" w:eastAsiaTheme="minorEastAsia"/>
          <w:bCs/>
          <w:kern w:val="0"/>
          <w:sz w:val="28"/>
          <w:szCs w:val="28"/>
          <w:highlight w:val="yellow"/>
          <w:lang w:eastAsia="zh-CN"/>
        </w:rPr>
      </w:pPr>
      <w:r>
        <w:rPr>
          <w:rFonts w:hint="eastAsia" w:asciiTheme="minorEastAsia" w:hAnsiTheme="minorEastAsia"/>
          <w:bCs/>
          <w:kern w:val="0"/>
          <w:sz w:val="28"/>
          <w:szCs w:val="28"/>
        </w:rPr>
        <w:t>（二）决算单位构成。湖南省地质矿产勘查开发局四0三队</w:t>
      </w:r>
      <w:r>
        <w:rPr>
          <w:rFonts w:asciiTheme="minorEastAsia" w:hAnsiTheme="minorEastAsia"/>
          <w:bCs/>
          <w:kern w:val="0"/>
          <w:sz w:val="28"/>
          <w:szCs w:val="28"/>
        </w:rPr>
        <w:t>20</w:t>
      </w:r>
      <w:r>
        <w:rPr>
          <w:rFonts w:hint="eastAsia" w:asciiTheme="minorEastAsia" w:hAnsiTheme="minorEastAsia"/>
          <w:bCs/>
          <w:kern w:val="0"/>
          <w:sz w:val="28"/>
          <w:szCs w:val="28"/>
        </w:rPr>
        <w:t>2</w:t>
      </w:r>
      <w:r>
        <w:rPr>
          <w:rFonts w:hint="eastAsia" w:asciiTheme="minorEastAsia" w:hAnsiTheme="minorEastAsia"/>
          <w:bCs/>
          <w:kern w:val="0"/>
          <w:sz w:val="28"/>
          <w:szCs w:val="28"/>
          <w:lang w:val="en-US" w:eastAsia="zh-CN"/>
        </w:rPr>
        <w:t>1</w:t>
      </w:r>
      <w:r>
        <w:rPr>
          <w:rFonts w:hint="eastAsia" w:asciiTheme="minorEastAsia" w:hAnsiTheme="minorEastAsia"/>
          <w:bCs/>
          <w:kern w:val="0"/>
          <w:sz w:val="28"/>
          <w:szCs w:val="28"/>
        </w:rPr>
        <w:t>年部门决算汇总公开单位构成包括：湖南省地质矿产勘查开发局四0三队本级</w:t>
      </w:r>
      <w:r>
        <w:rPr>
          <w:rFonts w:hint="eastAsia" w:asciiTheme="minorEastAsia" w:hAnsiTheme="minorEastAsia"/>
          <w:bCs/>
          <w:kern w:val="0"/>
          <w:sz w:val="28"/>
          <w:szCs w:val="28"/>
          <w:lang w:eastAsia="zh-CN"/>
        </w:rPr>
        <w:t>。</w:t>
      </w:r>
    </w:p>
    <w:p w14:paraId="4BD342D2">
      <w:pPr>
        <w:jc w:val="left"/>
        <w:rPr>
          <w:rFonts w:ascii="仿宋_GB2312" w:eastAsia="仿宋_GB2312" w:hAnsiTheme="minorEastAsia"/>
          <w:sz w:val="28"/>
          <w:szCs w:val="32"/>
        </w:rPr>
      </w:pPr>
    </w:p>
    <w:p w14:paraId="3E1B2FE8">
      <w:pPr>
        <w:jc w:val="center"/>
        <w:rPr>
          <w:rFonts w:ascii="黑体" w:hAnsi="黑体" w:eastAsia="黑体"/>
          <w:sz w:val="28"/>
          <w:szCs w:val="28"/>
        </w:rPr>
      </w:pPr>
    </w:p>
    <w:p w14:paraId="567D2A2D">
      <w:pPr>
        <w:jc w:val="center"/>
        <w:rPr>
          <w:rFonts w:ascii="黑体" w:hAnsi="黑体" w:eastAsia="黑体"/>
          <w:sz w:val="28"/>
          <w:szCs w:val="28"/>
        </w:rPr>
      </w:pPr>
    </w:p>
    <w:p w14:paraId="7BA7805E">
      <w:pPr>
        <w:jc w:val="center"/>
        <w:rPr>
          <w:rFonts w:ascii="黑体" w:hAnsi="黑体" w:eastAsia="黑体"/>
          <w:sz w:val="28"/>
          <w:szCs w:val="28"/>
        </w:rPr>
      </w:pPr>
    </w:p>
    <w:p w14:paraId="11CFF036">
      <w:pPr>
        <w:jc w:val="center"/>
        <w:rPr>
          <w:rFonts w:ascii="黑体" w:hAnsi="黑体" w:eastAsia="黑体"/>
          <w:sz w:val="28"/>
          <w:szCs w:val="28"/>
        </w:rPr>
      </w:pPr>
    </w:p>
    <w:p w14:paraId="19014452">
      <w:pPr>
        <w:jc w:val="center"/>
        <w:rPr>
          <w:rFonts w:ascii="黑体" w:hAnsi="黑体" w:eastAsia="黑体"/>
          <w:sz w:val="28"/>
          <w:szCs w:val="28"/>
        </w:rPr>
      </w:pPr>
    </w:p>
    <w:p w14:paraId="57A04930">
      <w:pPr>
        <w:jc w:val="center"/>
        <w:rPr>
          <w:rFonts w:ascii="黑体" w:hAnsi="黑体" w:eastAsia="黑体"/>
          <w:sz w:val="28"/>
          <w:szCs w:val="28"/>
        </w:rPr>
      </w:pPr>
    </w:p>
    <w:p w14:paraId="698A60EC">
      <w:pPr>
        <w:jc w:val="center"/>
        <w:rPr>
          <w:rFonts w:ascii="黑体" w:hAnsi="黑体" w:eastAsia="黑体"/>
          <w:sz w:val="28"/>
          <w:szCs w:val="28"/>
        </w:rPr>
      </w:pPr>
    </w:p>
    <w:p w14:paraId="21928533">
      <w:pPr>
        <w:jc w:val="center"/>
        <w:rPr>
          <w:rFonts w:ascii="黑体" w:hAnsi="黑体" w:eastAsia="黑体"/>
          <w:sz w:val="28"/>
          <w:szCs w:val="28"/>
        </w:rPr>
      </w:pPr>
    </w:p>
    <w:p w14:paraId="7490527E">
      <w:pPr>
        <w:jc w:val="center"/>
        <w:rPr>
          <w:rFonts w:ascii="黑体" w:hAnsi="黑体" w:eastAsia="黑体"/>
          <w:sz w:val="28"/>
          <w:szCs w:val="28"/>
        </w:rPr>
      </w:pPr>
    </w:p>
    <w:p w14:paraId="1E36C600">
      <w:pPr>
        <w:rPr>
          <w:sz w:val="72"/>
          <w:szCs w:val="72"/>
        </w:rPr>
      </w:pPr>
    </w:p>
    <w:p w14:paraId="19BF66DC">
      <w:pPr>
        <w:jc w:val="center"/>
        <w:rPr>
          <w:sz w:val="72"/>
          <w:szCs w:val="72"/>
        </w:rPr>
      </w:pPr>
    </w:p>
    <w:p w14:paraId="05C8BC61">
      <w:pPr>
        <w:jc w:val="center"/>
        <w:rPr>
          <w:sz w:val="72"/>
          <w:szCs w:val="72"/>
        </w:rPr>
      </w:pPr>
    </w:p>
    <w:p w14:paraId="02069FBF">
      <w:pPr>
        <w:jc w:val="center"/>
        <w:rPr>
          <w:sz w:val="72"/>
          <w:szCs w:val="72"/>
        </w:rPr>
      </w:pPr>
    </w:p>
    <w:p w14:paraId="36DFAB4B">
      <w:pPr>
        <w:jc w:val="center"/>
        <w:rPr>
          <w:sz w:val="72"/>
          <w:szCs w:val="72"/>
        </w:rPr>
      </w:pPr>
    </w:p>
    <w:p w14:paraId="74EDA93D">
      <w:pPr>
        <w:jc w:val="center"/>
        <w:rPr>
          <w:sz w:val="72"/>
          <w:szCs w:val="72"/>
        </w:rPr>
      </w:pPr>
      <w:r>
        <w:rPr>
          <w:rFonts w:hint="eastAsia"/>
          <w:sz w:val="72"/>
          <w:szCs w:val="72"/>
        </w:rPr>
        <w:t>第二部分</w:t>
      </w:r>
    </w:p>
    <w:p w14:paraId="793892CD">
      <w:pPr>
        <w:jc w:val="center"/>
        <w:rPr>
          <w:sz w:val="72"/>
          <w:szCs w:val="72"/>
        </w:rPr>
      </w:pPr>
    </w:p>
    <w:p w14:paraId="4F1C8A3B">
      <w:pPr>
        <w:jc w:val="center"/>
        <w:rPr>
          <w:sz w:val="72"/>
          <w:szCs w:val="72"/>
        </w:rPr>
      </w:pPr>
      <w:r>
        <w:rPr>
          <w:rFonts w:hint="eastAsia"/>
          <w:sz w:val="72"/>
          <w:szCs w:val="72"/>
        </w:rPr>
        <w:t>部门决算表</w:t>
      </w:r>
    </w:p>
    <w:p w14:paraId="443B7133">
      <w:pPr>
        <w:jc w:val="center"/>
        <w:rPr>
          <w:sz w:val="72"/>
          <w:szCs w:val="72"/>
        </w:rPr>
      </w:pPr>
    </w:p>
    <w:p w14:paraId="526A718E">
      <w:pPr>
        <w:jc w:val="center"/>
        <w:rPr>
          <w:sz w:val="72"/>
          <w:szCs w:val="72"/>
        </w:rPr>
      </w:pPr>
    </w:p>
    <w:p w14:paraId="5609DC89">
      <w:pPr>
        <w:jc w:val="center"/>
        <w:rPr>
          <w:sz w:val="72"/>
          <w:szCs w:val="72"/>
        </w:rPr>
      </w:pPr>
    </w:p>
    <w:p w14:paraId="46CD930E">
      <w:pPr>
        <w:jc w:val="center"/>
        <w:rPr>
          <w:sz w:val="72"/>
          <w:szCs w:val="72"/>
        </w:rPr>
      </w:pPr>
    </w:p>
    <w:p w14:paraId="403091D4">
      <w:pPr>
        <w:jc w:val="center"/>
        <w:rPr>
          <w:sz w:val="72"/>
          <w:szCs w:val="72"/>
        </w:rPr>
      </w:pPr>
    </w:p>
    <w:p w14:paraId="374874E2">
      <w:pPr>
        <w:jc w:val="center"/>
        <w:rPr>
          <w:sz w:val="72"/>
          <w:szCs w:val="72"/>
        </w:rPr>
      </w:pPr>
    </w:p>
    <w:p w14:paraId="3BE92F49">
      <w:pPr>
        <w:jc w:val="left"/>
        <w:rPr>
          <w:sz w:val="32"/>
          <w:szCs w:val="32"/>
        </w:rPr>
      </w:pPr>
    </w:p>
    <w:p w14:paraId="773CACB5">
      <w:pPr>
        <w:jc w:val="left"/>
        <w:rPr>
          <w:rFonts w:asciiTheme="minorEastAsia" w:hAnsiTheme="minorEastAsia"/>
          <w:sz w:val="32"/>
          <w:szCs w:val="32"/>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14:paraId="692804AC">
      <w:pPr>
        <w:rPr>
          <w:rFonts w:ascii="黑体" w:hAnsi="黑体" w:eastAsia="黑体"/>
          <w:sz w:val="28"/>
          <w:szCs w:val="28"/>
        </w:rPr>
      </w:pPr>
      <w:r>
        <w:rPr>
          <w:rFonts w:ascii="黑体" w:hAnsi="黑体" w:eastAsia="黑体"/>
          <w:sz w:val="28"/>
          <w:szCs w:val="28"/>
        </w:rPr>
        <w:object>
          <v:shape id="_x0000_i1025" o:spt="75" type="#_x0000_t75" style="height:469.5pt;width:697.5pt;" o:ole="t" filled="f" o:preferrelative="t" stroked="f" coordsize="21600,21600">
            <v:path/>
            <v:fill on="f" focussize="0,0"/>
            <v:stroke on="f" joinstyle="miter"/>
            <v:imagedata r:id="rId7" o:title=""/>
            <o:lock v:ext="edit" aspectratio="f"/>
            <w10:wrap type="none"/>
            <w10:anchorlock/>
          </v:shape>
          <o:OLEObject Type="Embed" ProgID="Excel.Sheet.12" ShapeID="_x0000_i1025" DrawAspect="Content" ObjectID="_1468075725" r:id="rId6">
            <o:LockedField>false</o:LockedField>
          </o:OLEObject>
        </w:object>
      </w:r>
    </w:p>
    <w:p w14:paraId="7847327C">
      <w:pPr>
        <w:rPr>
          <w:rFonts w:ascii="Times New Roman" w:hAnsi="Times New Roman" w:eastAsia="黑体" w:cs="Times New Roman"/>
          <w:bCs/>
          <w:kern w:val="0"/>
          <w:sz w:val="32"/>
          <w:szCs w:val="32"/>
        </w:rPr>
      </w:pPr>
      <w:r>
        <w:rPr>
          <w:rFonts w:ascii="黑体" w:hAnsi="黑体" w:eastAsia="黑体"/>
          <w:sz w:val="28"/>
          <w:szCs w:val="28"/>
        </w:rPr>
        <w:br w:type="page"/>
      </w:r>
    </w:p>
    <w:p w14:paraId="2FB9E73A">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object>
          <v:shape id="_x0000_i1026" o:spt="75" type="#_x0000_t75" style="height:408pt;width:769.5pt;" o:ole="t" filled="f" o:preferrelative="t" stroked="f" coordsize="21600,21600">
            <v:path/>
            <v:fill on="f" focussize="0,0"/>
            <v:stroke on="f" joinstyle="miter"/>
            <v:imagedata r:id="rId9" o:title=""/>
            <o:lock v:ext="edit" aspectratio="f"/>
            <w10:wrap type="none"/>
            <w10:anchorlock/>
          </v:shape>
          <o:OLEObject Type="Embed" ProgID="Excel.Sheet.12" ShapeID="_x0000_i1026" DrawAspect="Content" ObjectID="_1468075726" r:id="rId8">
            <o:LockedField>false</o:LockedField>
          </o:OLEObject>
        </w:object>
      </w:r>
      <w:r>
        <w:rPr>
          <w:rFonts w:ascii="Times New Roman" w:hAnsi="Times New Roman" w:eastAsia="黑体" w:cs="Times New Roman"/>
          <w:bCs/>
          <w:kern w:val="0"/>
          <w:sz w:val="32"/>
          <w:szCs w:val="32"/>
        </w:rPr>
        <w:t xml:space="preserve"> </w:t>
      </w:r>
    </w:p>
    <w:p w14:paraId="6731E38C">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14:paraId="7BA1FB9F">
      <w:pPr>
        <w:widowControl/>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object>
          <v:shape id="_x0000_i1027" o:spt="75" type="#_x0000_t75" style="height:454.5pt;width:769.5pt;" o:ole="t" filled="f" o:preferrelative="t" stroked="f" coordsize="21600,21600">
            <v:path/>
            <v:fill on="f" focussize="0,0"/>
            <v:stroke on="f" joinstyle="miter"/>
            <v:imagedata r:id="rId11" o:title=""/>
            <o:lock v:ext="edit" aspectratio="f"/>
            <w10:wrap type="none"/>
            <w10:anchorlock/>
          </v:shape>
          <o:OLEObject Type="Embed" ProgID="Excel.Sheet.12" ShapeID="_x0000_i1027" DrawAspect="Content" ObjectID="_1468075727" r:id="rId10">
            <o:LockedField>false</o:LockedField>
          </o:OLEObject>
        </w:object>
      </w:r>
    </w:p>
    <w:p w14:paraId="29FEF57D">
      <w:pPr>
        <w:widowControl/>
        <w:rPr>
          <w:rFonts w:ascii="Times New Roman" w:hAnsi="Times New Roman" w:eastAsia="方正小标宋_GBK" w:cs="Times New Roman"/>
          <w:color w:val="000000"/>
          <w:kern w:val="0"/>
          <w:sz w:val="36"/>
          <w:szCs w:val="21"/>
        </w:rPr>
      </w:pPr>
    </w:p>
    <w:p w14:paraId="752C8140">
      <w:pPr>
        <w:widowControl/>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object>
          <v:shape id="_x0000_i1028" o:spt="75" type="#_x0000_t75" style="height:480.75pt;width:769.5pt;" o:ole="t" filled="f" o:preferrelative="t" stroked="f" coordsize="21600,21600">
            <v:path/>
            <v:fill on="f" focussize="0,0"/>
            <v:stroke on="f" joinstyle="miter"/>
            <v:imagedata r:id="rId13" o:title=""/>
            <o:lock v:ext="edit" aspectratio="f"/>
            <w10:wrap type="none"/>
            <w10:anchorlock/>
          </v:shape>
          <o:OLEObject Type="Embed" ProgID="Excel.Sheet.12" ShapeID="_x0000_i1028" DrawAspect="Content" ObjectID="_1468075728" r:id="rId12">
            <o:LockedField>false</o:LockedField>
          </o:OLEObject>
        </w:object>
      </w:r>
    </w:p>
    <w:p w14:paraId="1F6F3ED7">
      <w:pPr>
        <w:widowControl/>
        <w:rPr>
          <w:rFonts w:ascii="Times New Roman" w:hAnsi="Times New Roman" w:eastAsia="方正小标宋_GBK" w:cs="Times New Roman"/>
          <w:color w:val="000000"/>
          <w:kern w:val="0"/>
          <w:sz w:val="36"/>
          <w:szCs w:val="21"/>
        </w:rPr>
      </w:pPr>
    </w:p>
    <w:p w14:paraId="388E576D">
      <w:pPr>
        <w:widowControl/>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object>
          <v:shape id="_x0000_i1029" o:spt="75" type="#_x0000_t75" style="height:464.25pt;width:585.75pt;" o:ole="t" filled="f" o:preferrelative="t" stroked="f" coordsize="21600,21600">
            <v:path/>
            <v:fill on="f" focussize="0,0"/>
            <v:stroke on="f" joinstyle="miter"/>
            <v:imagedata r:id="rId15" o:title=""/>
            <o:lock v:ext="edit" aspectratio="f"/>
            <w10:wrap type="none"/>
            <w10:anchorlock/>
          </v:shape>
          <o:OLEObject Type="Embed" ProgID="Excel.Sheet.12" ShapeID="_x0000_i1029" DrawAspect="Content" ObjectID="_1468075729" r:id="rId14">
            <o:LockedField>false</o:LockedField>
          </o:OLEObject>
        </w:object>
      </w:r>
    </w:p>
    <w:p w14:paraId="3E8CE93F">
      <w:pPr>
        <w:widowControl/>
        <w:rPr>
          <w:rFonts w:ascii="Times New Roman" w:hAnsi="Times New Roman" w:eastAsia="方正小标宋_GBK" w:cs="Times New Roman"/>
          <w:color w:val="000000"/>
          <w:kern w:val="0"/>
          <w:sz w:val="36"/>
          <w:szCs w:val="21"/>
        </w:rPr>
      </w:pPr>
    </w:p>
    <w:p w14:paraId="5D9298BF">
      <w:pPr>
        <w:widowControl/>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object>
          <v:shape id="_x0000_i1030" o:spt="75" type="#_x0000_t75" style="height:450.75pt;width:769.5pt;" o:ole="t" filled="f" o:preferrelative="t" stroked="f" coordsize="21600,21600">
            <v:path/>
            <v:fill on="f" focussize="0,0"/>
            <v:stroke on="f" joinstyle="miter"/>
            <v:imagedata r:id="rId17" o:title=""/>
            <o:lock v:ext="edit" aspectratio="f"/>
            <w10:wrap type="none"/>
            <w10:anchorlock/>
          </v:shape>
          <o:OLEObject Type="Embed" ProgID="Excel.Sheet.12" ShapeID="_x0000_i1030" DrawAspect="Content" ObjectID="_1468075730" r:id="rId16">
            <o:LockedField>false</o:LockedField>
          </o:OLEObject>
        </w:object>
      </w:r>
    </w:p>
    <w:p w14:paraId="53270BC7">
      <w:pPr>
        <w:widowControl/>
        <w:rPr>
          <w:rFonts w:ascii="Times New Roman" w:hAnsi="Times New Roman" w:eastAsia="方正小标宋_GBK" w:cs="Times New Roman"/>
          <w:color w:val="000000"/>
          <w:kern w:val="0"/>
          <w:sz w:val="36"/>
          <w:szCs w:val="21"/>
        </w:rPr>
      </w:pPr>
    </w:p>
    <w:p w14:paraId="0CE9B785">
      <w:pPr>
        <w:widowControl/>
        <w:rPr>
          <w:rFonts w:ascii="Times New Roman" w:hAnsi="Times New Roman" w:eastAsia="方正小标宋_GBK" w:cs="Times New Roman"/>
          <w:color w:val="000000"/>
          <w:kern w:val="0"/>
          <w:sz w:val="36"/>
          <w:szCs w:val="21"/>
        </w:rPr>
      </w:pPr>
    </w:p>
    <w:p w14:paraId="7F5DAA95">
      <w:pPr>
        <w:widowControl/>
        <w:rPr>
          <w:rFonts w:ascii="Times New Roman" w:hAnsi="Times New Roman" w:eastAsia="方正小标宋_GBK" w:cs="Times New Roman"/>
          <w:color w:val="000000"/>
          <w:kern w:val="0"/>
          <w:sz w:val="36"/>
          <w:szCs w:val="36"/>
        </w:rPr>
      </w:pPr>
      <w:bookmarkStart w:id="0" w:name="RANGE!A1:I22"/>
      <w:bookmarkEnd w:id="0"/>
    </w:p>
    <w:p w14:paraId="06B489F2">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14:paraId="1350E7AB">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湖南省地质矿产勘查开发局四〇三队</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14:paraId="2FE29245">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14:paraId="1AEA2D8F">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14:paraId="5BF79D4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14:paraId="0872C43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14:paraId="5B7ECEE3">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14:paraId="71D9477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14:paraId="3994F06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14:paraId="320E019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14:paraId="3D89F9B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14:paraId="1BB635D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14:paraId="32B49F8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14:paraId="158EB71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14:paraId="51ADD67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14:paraId="1936504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14:paraId="043602B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14:paraId="0BD8F175">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14:paraId="4FB96B67">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14:paraId="0CF2CFFE">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14:paraId="0C885E1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14:paraId="16B9472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14:paraId="0362A1E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14:paraId="6BEBE4D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14:paraId="25A784D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14:paraId="7F1A45D1">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14:paraId="0382CE8B">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14:paraId="7F6AE989">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14:paraId="0138044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14:paraId="61CD826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14:paraId="303A39F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14:paraId="70A190E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14:paraId="35BB507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14:paraId="5F3D9542">
            <w:pPr>
              <w:widowControl/>
              <w:jc w:val="left"/>
              <w:rPr>
                <w:rFonts w:ascii="Times New Roman" w:hAnsi="Times New Roman" w:eastAsia="仿宋_GB2312" w:cs="Times New Roman"/>
                <w:kern w:val="0"/>
                <w:szCs w:val="21"/>
              </w:rPr>
            </w:pPr>
          </w:p>
        </w:tc>
      </w:tr>
      <w:tr w14:paraId="0D2796DB">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14:paraId="29666C8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14:paraId="3246087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14:paraId="0527B3F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14:paraId="6DD3135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14:paraId="0ABEA68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14:paraId="467E165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14:paraId="7B0BBC0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14:paraId="595FF9D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14:paraId="79C381C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14:paraId="1BA1500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14:paraId="41FCA55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14:paraId="6F87E76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14:paraId="542F33F1">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14:paraId="67E90E54">
            <w:pPr>
              <w:widowControl/>
              <w:jc w:val="left"/>
              <w:rPr>
                <w:rFonts w:hint="eastAsia" w:ascii="Times New Roman" w:hAnsi="Times New Roman" w:eastAsia="仿宋_GB2312" w:cs="Times New Roman"/>
                <w:kern w:val="0"/>
                <w:szCs w:val="21"/>
                <w:lang w:val="en-US" w:eastAsia="zh-CN"/>
              </w:rPr>
            </w:pPr>
          </w:p>
        </w:tc>
        <w:tc>
          <w:tcPr>
            <w:tcW w:w="1220" w:type="dxa"/>
            <w:tcBorders>
              <w:top w:val="nil"/>
              <w:left w:val="nil"/>
              <w:bottom w:val="single" w:color="auto" w:sz="8" w:space="0"/>
              <w:right w:val="single" w:color="auto" w:sz="4" w:space="0"/>
            </w:tcBorders>
            <w:shd w:val="clear" w:color="auto" w:fill="auto"/>
            <w:vAlign w:val="center"/>
          </w:tcPr>
          <w:p w14:paraId="09885BAB">
            <w:pPr>
              <w:widowControl/>
              <w:jc w:val="left"/>
              <w:rPr>
                <w:rFonts w:hint="eastAsia" w:ascii="Times New Roman" w:hAnsi="Times New Roman" w:eastAsia="仿宋_GB2312" w:cs="Times New Roman"/>
                <w:kern w:val="0"/>
                <w:szCs w:val="21"/>
                <w:lang w:val="en-US" w:eastAsia="zh-CN"/>
              </w:rPr>
            </w:pPr>
          </w:p>
        </w:tc>
        <w:tc>
          <w:tcPr>
            <w:tcW w:w="1220" w:type="dxa"/>
            <w:tcBorders>
              <w:top w:val="nil"/>
              <w:left w:val="nil"/>
              <w:bottom w:val="single" w:color="auto" w:sz="8" w:space="0"/>
              <w:right w:val="single" w:color="auto" w:sz="4" w:space="0"/>
            </w:tcBorders>
            <w:shd w:val="clear" w:color="auto" w:fill="auto"/>
            <w:vAlign w:val="center"/>
          </w:tcPr>
          <w:p w14:paraId="733E4D1C">
            <w:pPr>
              <w:widowControl/>
              <w:jc w:val="left"/>
              <w:rPr>
                <w:rFonts w:hint="eastAsia" w:ascii="Times New Roman" w:hAnsi="Times New Roman" w:eastAsia="仿宋_GB2312" w:cs="Times New Roman"/>
                <w:kern w:val="0"/>
                <w:szCs w:val="21"/>
                <w:lang w:val="en-US" w:eastAsia="zh-CN"/>
              </w:rPr>
            </w:pPr>
          </w:p>
        </w:tc>
        <w:tc>
          <w:tcPr>
            <w:tcW w:w="1220" w:type="dxa"/>
            <w:tcBorders>
              <w:top w:val="nil"/>
              <w:left w:val="nil"/>
              <w:bottom w:val="single" w:color="auto" w:sz="8" w:space="0"/>
              <w:right w:val="single" w:color="auto" w:sz="4" w:space="0"/>
            </w:tcBorders>
            <w:shd w:val="clear" w:color="auto" w:fill="auto"/>
            <w:vAlign w:val="center"/>
          </w:tcPr>
          <w:p w14:paraId="7C19ADA2">
            <w:pPr>
              <w:widowControl/>
              <w:jc w:val="left"/>
              <w:rPr>
                <w:rFonts w:hint="eastAsia" w:ascii="Times New Roman" w:hAnsi="Times New Roman" w:eastAsia="仿宋_GB2312" w:cs="Times New Roman"/>
                <w:kern w:val="0"/>
                <w:szCs w:val="21"/>
                <w:lang w:val="en-US" w:eastAsia="zh-CN"/>
              </w:rPr>
            </w:pPr>
          </w:p>
        </w:tc>
        <w:tc>
          <w:tcPr>
            <w:tcW w:w="1220" w:type="dxa"/>
            <w:tcBorders>
              <w:top w:val="nil"/>
              <w:left w:val="nil"/>
              <w:bottom w:val="single" w:color="auto" w:sz="8" w:space="0"/>
              <w:right w:val="single" w:color="auto" w:sz="4" w:space="0"/>
            </w:tcBorders>
            <w:shd w:val="clear" w:color="auto" w:fill="auto"/>
            <w:vAlign w:val="center"/>
          </w:tcPr>
          <w:p w14:paraId="2922DE59">
            <w:pPr>
              <w:widowControl/>
              <w:jc w:val="left"/>
              <w:rPr>
                <w:rFonts w:hint="eastAsia" w:ascii="Times New Roman" w:hAnsi="Times New Roman" w:eastAsia="仿宋_GB2312" w:cs="Times New Roman"/>
                <w:kern w:val="0"/>
                <w:sz w:val="21"/>
                <w:szCs w:val="21"/>
                <w:lang w:val="en-US" w:eastAsia="zh-CN" w:bidi="ar-SA"/>
              </w:rPr>
            </w:pPr>
          </w:p>
        </w:tc>
        <w:tc>
          <w:tcPr>
            <w:tcW w:w="1220" w:type="dxa"/>
            <w:tcBorders>
              <w:top w:val="nil"/>
              <w:left w:val="nil"/>
              <w:bottom w:val="single" w:color="auto" w:sz="8" w:space="0"/>
              <w:right w:val="single" w:color="auto" w:sz="4" w:space="0"/>
            </w:tcBorders>
            <w:shd w:val="clear" w:color="auto" w:fill="auto"/>
            <w:vAlign w:val="center"/>
          </w:tcPr>
          <w:p w14:paraId="4EC92C58">
            <w:pPr>
              <w:widowControl/>
              <w:jc w:val="left"/>
              <w:rPr>
                <w:rFonts w:hint="eastAsia" w:ascii="Times New Roman" w:hAnsi="Times New Roman" w:eastAsia="仿宋_GB2312" w:cs="Times New Roman"/>
                <w:kern w:val="0"/>
                <w:sz w:val="21"/>
                <w:szCs w:val="21"/>
                <w:lang w:val="en-US" w:eastAsia="zh-CN" w:bidi="ar-SA"/>
              </w:rPr>
            </w:pPr>
          </w:p>
        </w:tc>
        <w:tc>
          <w:tcPr>
            <w:tcW w:w="1220" w:type="dxa"/>
            <w:tcBorders>
              <w:top w:val="nil"/>
              <w:left w:val="nil"/>
              <w:bottom w:val="single" w:color="auto" w:sz="8" w:space="0"/>
              <w:right w:val="single" w:color="auto" w:sz="4" w:space="0"/>
            </w:tcBorders>
            <w:shd w:val="clear" w:color="auto" w:fill="auto"/>
            <w:vAlign w:val="center"/>
          </w:tcPr>
          <w:p w14:paraId="76442F13">
            <w:pPr>
              <w:widowControl/>
              <w:jc w:val="left"/>
              <w:rPr>
                <w:rFonts w:hint="eastAsia" w:ascii="Times New Roman" w:hAnsi="Times New Roman" w:eastAsia="仿宋_GB2312" w:cs="Times New Roman"/>
                <w:kern w:val="0"/>
                <w:sz w:val="21"/>
                <w:szCs w:val="21"/>
                <w:lang w:val="en-US" w:eastAsia="zh-CN" w:bidi="ar-SA"/>
              </w:rPr>
            </w:pPr>
          </w:p>
        </w:tc>
        <w:tc>
          <w:tcPr>
            <w:tcW w:w="1220" w:type="dxa"/>
            <w:tcBorders>
              <w:top w:val="nil"/>
              <w:left w:val="nil"/>
              <w:bottom w:val="single" w:color="auto" w:sz="8" w:space="0"/>
              <w:right w:val="single" w:color="auto" w:sz="4" w:space="0"/>
            </w:tcBorders>
            <w:shd w:val="clear" w:color="auto" w:fill="auto"/>
            <w:vAlign w:val="center"/>
          </w:tcPr>
          <w:p w14:paraId="336071EB">
            <w:pPr>
              <w:widowControl/>
              <w:jc w:val="left"/>
              <w:rPr>
                <w:rFonts w:hint="eastAsia" w:ascii="Times New Roman" w:hAnsi="Times New Roman" w:eastAsia="仿宋_GB2312" w:cs="Times New Roman"/>
                <w:kern w:val="0"/>
                <w:sz w:val="21"/>
                <w:szCs w:val="21"/>
                <w:lang w:val="en-US" w:eastAsia="zh-CN" w:bidi="ar-SA"/>
              </w:rPr>
            </w:pPr>
          </w:p>
        </w:tc>
        <w:tc>
          <w:tcPr>
            <w:tcW w:w="1220" w:type="dxa"/>
            <w:tcBorders>
              <w:top w:val="nil"/>
              <w:left w:val="nil"/>
              <w:bottom w:val="single" w:color="auto" w:sz="8" w:space="0"/>
              <w:right w:val="single" w:color="auto" w:sz="4" w:space="0"/>
            </w:tcBorders>
            <w:shd w:val="clear" w:color="auto" w:fill="auto"/>
            <w:vAlign w:val="center"/>
          </w:tcPr>
          <w:p w14:paraId="0001B342">
            <w:pPr>
              <w:widowControl/>
              <w:jc w:val="left"/>
              <w:rPr>
                <w:rFonts w:hint="eastAsia" w:ascii="Times New Roman" w:hAnsi="Times New Roman" w:eastAsia="仿宋_GB2312" w:cs="Times New Roman"/>
                <w:kern w:val="0"/>
                <w:sz w:val="21"/>
                <w:szCs w:val="21"/>
                <w:lang w:val="en-US" w:eastAsia="zh-CN" w:bidi="ar-SA"/>
              </w:rPr>
            </w:pPr>
          </w:p>
        </w:tc>
        <w:tc>
          <w:tcPr>
            <w:tcW w:w="1220" w:type="dxa"/>
            <w:tcBorders>
              <w:top w:val="nil"/>
              <w:left w:val="nil"/>
              <w:bottom w:val="single" w:color="auto" w:sz="8" w:space="0"/>
              <w:right w:val="single" w:color="auto" w:sz="4" w:space="0"/>
            </w:tcBorders>
            <w:shd w:val="clear" w:color="auto" w:fill="auto"/>
            <w:vAlign w:val="center"/>
          </w:tcPr>
          <w:p w14:paraId="7DC7DF2E">
            <w:pPr>
              <w:widowControl/>
              <w:jc w:val="left"/>
              <w:rPr>
                <w:rFonts w:hint="eastAsia" w:ascii="Times New Roman" w:hAnsi="Times New Roman" w:eastAsia="仿宋_GB2312" w:cs="Times New Roman"/>
                <w:kern w:val="0"/>
                <w:sz w:val="21"/>
                <w:szCs w:val="21"/>
                <w:lang w:val="en-US" w:eastAsia="zh-CN" w:bidi="ar-SA"/>
              </w:rPr>
            </w:pPr>
          </w:p>
        </w:tc>
        <w:tc>
          <w:tcPr>
            <w:tcW w:w="1220" w:type="dxa"/>
            <w:tcBorders>
              <w:top w:val="nil"/>
              <w:left w:val="nil"/>
              <w:bottom w:val="single" w:color="auto" w:sz="8" w:space="0"/>
              <w:right w:val="nil"/>
            </w:tcBorders>
            <w:shd w:val="clear" w:color="auto" w:fill="auto"/>
            <w:vAlign w:val="center"/>
          </w:tcPr>
          <w:p w14:paraId="653A1003">
            <w:pPr>
              <w:widowControl/>
              <w:jc w:val="left"/>
              <w:rPr>
                <w:rFonts w:hint="eastAsia" w:ascii="Times New Roman" w:hAnsi="Times New Roman" w:eastAsia="仿宋_GB2312" w:cs="Times New Roman"/>
                <w:kern w:val="0"/>
                <w:sz w:val="21"/>
                <w:szCs w:val="21"/>
                <w:lang w:val="en-US" w:eastAsia="zh-CN" w:bidi="ar-SA"/>
              </w:rPr>
            </w:pPr>
          </w:p>
        </w:tc>
        <w:tc>
          <w:tcPr>
            <w:tcW w:w="1220" w:type="dxa"/>
            <w:tcBorders>
              <w:top w:val="nil"/>
              <w:left w:val="single" w:color="auto" w:sz="4" w:space="0"/>
              <w:bottom w:val="single" w:color="auto" w:sz="8" w:space="0"/>
              <w:right w:val="single" w:color="auto" w:sz="8" w:space="0"/>
            </w:tcBorders>
            <w:shd w:val="clear" w:color="auto" w:fill="auto"/>
            <w:vAlign w:val="center"/>
          </w:tcPr>
          <w:p w14:paraId="2E004519">
            <w:pPr>
              <w:widowControl/>
              <w:jc w:val="left"/>
              <w:rPr>
                <w:rFonts w:hint="eastAsia" w:ascii="Times New Roman" w:hAnsi="Times New Roman" w:eastAsia="仿宋_GB2312" w:cs="Times New Roman"/>
                <w:kern w:val="0"/>
                <w:sz w:val="21"/>
                <w:szCs w:val="21"/>
                <w:lang w:val="en-US" w:eastAsia="zh-CN" w:bidi="ar-SA"/>
              </w:rPr>
            </w:pPr>
          </w:p>
        </w:tc>
      </w:tr>
    </w:tbl>
    <w:p w14:paraId="53FA048E">
      <w:pPr>
        <w:widowControl/>
        <w:jc w:val="left"/>
        <w:rPr>
          <w:rFonts w:hint="eastAsia"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14:paraId="70E0310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说明：本单位没有</w:t>
      </w:r>
      <w:r>
        <w:rPr>
          <w:rFonts w:hint="eastAsia" w:ascii="Times New Roman" w:hAnsi="Times New Roman" w:eastAsia="仿宋_GB2312" w:cs="Times New Roman"/>
          <w:kern w:val="0"/>
          <w:szCs w:val="21"/>
          <w:lang w:eastAsia="zh-CN"/>
        </w:rPr>
        <w:t>使用财政性资金安排三公经费支出</w:t>
      </w:r>
      <w:r>
        <w:rPr>
          <w:rFonts w:hint="eastAsia" w:ascii="Times New Roman" w:hAnsi="Times New Roman" w:eastAsia="仿宋_GB2312" w:cs="Times New Roman"/>
          <w:kern w:val="0"/>
          <w:szCs w:val="21"/>
        </w:rPr>
        <w:t>，故本表无数据</w:t>
      </w:r>
      <w:r>
        <w:rPr>
          <w:rFonts w:ascii="Times New Roman" w:hAnsi="Times New Roman" w:eastAsia="仿宋_GB2312" w:cs="Times New Roman"/>
          <w:kern w:val="0"/>
          <w:szCs w:val="21"/>
        </w:rPr>
        <w:t>)。</w:t>
      </w:r>
    </w:p>
    <w:p w14:paraId="52CAFC61">
      <w:pPr>
        <w:widowControl/>
        <w:jc w:val="left"/>
        <w:rPr>
          <w:rFonts w:ascii="宋体" w:eastAsia="宋体" w:cs="宋体"/>
          <w:kern w:val="0"/>
          <w:sz w:val="24"/>
          <w:szCs w:val="24"/>
        </w:rPr>
      </w:pPr>
      <w:r>
        <w:rPr>
          <w:rFonts w:ascii="宋体" w:eastAsia="宋体" w:cs="宋体"/>
          <w:kern w:val="0"/>
          <w:sz w:val="24"/>
          <w:szCs w:val="24"/>
        </w:rPr>
        <w:br w:type="page"/>
      </w:r>
    </w:p>
    <w:p w14:paraId="75D973D9">
      <w:pPr>
        <w:autoSpaceDE w:val="0"/>
        <w:autoSpaceDN w:val="0"/>
        <w:adjustRightInd w:val="0"/>
        <w:ind w:left="315" w:leftChars="150"/>
        <w:jc w:val="left"/>
        <w:rPr>
          <w:rFonts w:ascii="宋体" w:eastAsia="宋体" w:cs="宋体"/>
          <w:kern w:val="0"/>
          <w:sz w:val="24"/>
          <w:szCs w:val="24"/>
        </w:rPr>
      </w:pPr>
    </w:p>
    <w:p w14:paraId="3B7E2E18">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14:paraId="7EA9A68C">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湖南省地质矿产勘查开发局四〇三队</w:t>
      </w:r>
      <w:r>
        <w:rPr>
          <w:rFonts w:ascii="Times New Roman" w:hAnsi="Times New Roman" w:eastAsia="仿宋_GB2312" w:cs="Times New Roman"/>
          <w:color w:val="000000"/>
          <w:kern w:val="0"/>
          <w:szCs w:val="21"/>
        </w:rPr>
        <w:t xml:space="preserve">                                                                                              公开08表</w:t>
      </w:r>
    </w:p>
    <w:p w14:paraId="3C307FE2">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14:paraId="7B7B17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14:paraId="04770BD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14:paraId="2B455CD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14:paraId="5C5FB45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14:paraId="777F1BD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14:paraId="2F832EB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14:paraId="1D62B8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14:paraId="6EE3A53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14:paraId="46D0B47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14:paraId="52B20CC9">
            <w:pPr>
              <w:widowControl/>
              <w:jc w:val="left"/>
              <w:rPr>
                <w:rFonts w:ascii="Times New Roman" w:hAnsi="Times New Roman" w:eastAsia="仿宋_GB2312" w:cs="Times New Roman"/>
                <w:b/>
                <w:kern w:val="0"/>
                <w:szCs w:val="21"/>
              </w:rPr>
            </w:pPr>
          </w:p>
        </w:tc>
        <w:tc>
          <w:tcPr>
            <w:tcW w:w="2000" w:type="dxa"/>
            <w:vMerge w:val="continue"/>
            <w:vAlign w:val="center"/>
          </w:tcPr>
          <w:p w14:paraId="6AE67069">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14:paraId="6582C8F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14:paraId="6A11E37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14:paraId="5499472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14:paraId="58043AEE">
            <w:pPr>
              <w:widowControl/>
              <w:jc w:val="left"/>
              <w:rPr>
                <w:rFonts w:ascii="Times New Roman" w:hAnsi="Times New Roman" w:eastAsia="仿宋_GB2312" w:cs="Times New Roman"/>
                <w:b/>
                <w:kern w:val="0"/>
                <w:szCs w:val="21"/>
              </w:rPr>
            </w:pPr>
          </w:p>
        </w:tc>
      </w:tr>
      <w:tr w14:paraId="44E493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14:paraId="5BDEAD2D">
            <w:pPr>
              <w:widowControl/>
              <w:jc w:val="left"/>
              <w:rPr>
                <w:rFonts w:ascii="Times New Roman" w:hAnsi="Times New Roman" w:eastAsia="仿宋_GB2312" w:cs="Times New Roman"/>
                <w:kern w:val="0"/>
                <w:szCs w:val="21"/>
              </w:rPr>
            </w:pPr>
          </w:p>
        </w:tc>
        <w:tc>
          <w:tcPr>
            <w:tcW w:w="1320" w:type="dxa"/>
            <w:vMerge w:val="continue"/>
            <w:vAlign w:val="center"/>
          </w:tcPr>
          <w:p w14:paraId="0DC51B1D">
            <w:pPr>
              <w:widowControl/>
              <w:jc w:val="left"/>
              <w:rPr>
                <w:rFonts w:ascii="Times New Roman" w:hAnsi="Times New Roman" w:eastAsia="仿宋_GB2312" w:cs="Times New Roman"/>
                <w:kern w:val="0"/>
                <w:szCs w:val="21"/>
              </w:rPr>
            </w:pPr>
          </w:p>
        </w:tc>
        <w:tc>
          <w:tcPr>
            <w:tcW w:w="2000" w:type="dxa"/>
            <w:vMerge w:val="continue"/>
            <w:vAlign w:val="center"/>
          </w:tcPr>
          <w:p w14:paraId="15C7B24B">
            <w:pPr>
              <w:widowControl/>
              <w:jc w:val="left"/>
              <w:rPr>
                <w:rFonts w:ascii="Times New Roman" w:hAnsi="Times New Roman" w:eastAsia="仿宋_GB2312" w:cs="Times New Roman"/>
                <w:kern w:val="0"/>
                <w:szCs w:val="21"/>
              </w:rPr>
            </w:pPr>
          </w:p>
        </w:tc>
        <w:tc>
          <w:tcPr>
            <w:tcW w:w="2000" w:type="dxa"/>
            <w:vMerge w:val="continue"/>
            <w:vAlign w:val="center"/>
          </w:tcPr>
          <w:p w14:paraId="0A7F410B">
            <w:pPr>
              <w:widowControl/>
              <w:jc w:val="left"/>
              <w:rPr>
                <w:rFonts w:ascii="Times New Roman" w:hAnsi="Times New Roman" w:eastAsia="仿宋_GB2312" w:cs="Times New Roman"/>
                <w:kern w:val="0"/>
                <w:szCs w:val="21"/>
              </w:rPr>
            </w:pPr>
          </w:p>
        </w:tc>
        <w:tc>
          <w:tcPr>
            <w:tcW w:w="2000" w:type="dxa"/>
            <w:vMerge w:val="continue"/>
            <w:vAlign w:val="center"/>
          </w:tcPr>
          <w:p w14:paraId="3EB185C3">
            <w:pPr>
              <w:widowControl/>
              <w:jc w:val="left"/>
              <w:rPr>
                <w:rFonts w:ascii="Times New Roman" w:hAnsi="Times New Roman" w:eastAsia="仿宋_GB2312" w:cs="Times New Roman"/>
                <w:kern w:val="0"/>
                <w:szCs w:val="21"/>
              </w:rPr>
            </w:pPr>
          </w:p>
        </w:tc>
        <w:tc>
          <w:tcPr>
            <w:tcW w:w="2000" w:type="dxa"/>
            <w:vMerge w:val="continue"/>
            <w:vAlign w:val="center"/>
          </w:tcPr>
          <w:p w14:paraId="21B338A9">
            <w:pPr>
              <w:widowControl/>
              <w:jc w:val="left"/>
              <w:rPr>
                <w:rFonts w:ascii="Times New Roman" w:hAnsi="Times New Roman" w:eastAsia="仿宋_GB2312" w:cs="Times New Roman"/>
                <w:kern w:val="0"/>
                <w:szCs w:val="21"/>
              </w:rPr>
            </w:pPr>
          </w:p>
        </w:tc>
        <w:tc>
          <w:tcPr>
            <w:tcW w:w="2000" w:type="dxa"/>
            <w:vMerge w:val="continue"/>
            <w:vAlign w:val="center"/>
          </w:tcPr>
          <w:p w14:paraId="44A88E49">
            <w:pPr>
              <w:widowControl/>
              <w:jc w:val="left"/>
              <w:rPr>
                <w:rFonts w:ascii="Times New Roman" w:hAnsi="Times New Roman" w:eastAsia="仿宋_GB2312" w:cs="Times New Roman"/>
                <w:kern w:val="0"/>
                <w:szCs w:val="21"/>
              </w:rPr>
            </w:pPr>
          </w:p>
        </w:tc>
        <w:tc>
          <w:tcPr>
            <w:tcW w:w="2000" w:type="dxa"/>
            <w:vMerge w:val="continue"/>
            <w:vAlign w:val="center"/>
          </w:tcPr>
          <w:p w14:paraId="5B427E51">
            <w:pPr>
              <w:widowControl/>
              <w:jc w:val="left"/>
              <w:rPr>
                <w:rFonts w:ascii="Times New Roman" w:hAnsi="Times New Roman" w:eastAsia="仿宋_GB2312" w:cs="Times New Roman"/>
                <w:kern w:val="0"/>
                <w:szCs w:val="21"/>
              </w:rPr>
            </w:pPr>
          </w:p>
        </w:tc>
      </w:tr>
      <w:tr w14:paraId="488D0E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14:paraId="17920284">
            <w:pPr>
              <w:widowControl/>
              <w:jc w:val="left"/>
              <w:rPr>
                <w:rFonts w:ascii="Times New Roman" w:hAnsi="Times New Roman" w:eastAsia="仿宋_GB2312" w:cs="Times New Roman"/>
                <w:kern w:val="0"/>
                <w:szCs w:val="21"/>
              </w:rPr>
            </w:pPr>
          </w:p>
        </w:tc>
        <w:tc>
          <w:tcPr>
            <w:tcW w:w="1320" w:type="dxa"/>
            <w:vMerge w:val="continue"/>
            <w:vAlign w:val="center"/>
          </w:tcPr>
          <w:p w14:paraId="526245F2">
            <w:pPr>
              <w:widowControl/>
              <w:jc w:val="left"/>
              <w:rPr>
                <w:rFonts w:ascii="Times New Roman" w:hAnsi="Times New Roman" w:eastAsia="仿宋_GB2312" w:cs="Times New Roman"/>
                <w:kern w:val="0"/>
                <w:szCs w:val="21"/>
              </w:rPr>
            </w:pPr>
          </w:p>
        </w:tc>
        <w:tc>
          <w:tcPr>
            <w:tcW w:w="2000" w:type="dxa"/>
            <w:vMerge w:val="continue"/>
            <w:vAlign w:val="center"/>
          </w:tcPr>
          <w:p w14:paraId="29E05401">
            <w:pPr>
              <w:widowControl/>
              <w:jc w:val="left"/>
              <w:rPr>
                <w:rFonts w:ascii="Times New Roman" w:hAnsi="Times New Roman" w:eastAsia="仿宋_GB2312" w:cs="Times New Roman"/>
                <w:kern w:val="0"/>
                <w:szCs w:val="21"/>
              </w:rPr>
            </w:pPr>
          </w:p>
        </w:tc>
        <w:tc>
          <w:tcPr>
            <w:tcW w:w="2000" w:type="dxa"/>
            <w:vMerge w:val="continue"/>
            <w:vAlign w:val="center"/>
          </w:tcPr>
          <w:p w14:paraId="45FDDA73">
            <w:pPr>
              <w:widowControl/>
              <w:jc w:val="left"/>
              <w:rPr>
                <w:rFonts w:ascii="Times New Roman" w:hAnsi="Times New Roman" w:eastAsia="仿宋_GB2312" w:cs="Times New Roman"/>
                <w:kern w:val="0"/>
                <w:szCs w:val="21"/>
              </w:rPr>
            </w:pPr>
          </w:p>
        </w:tc>
        <w:tc>
          <w:tcPr>
            <w:tcW w:w="2000" w:type="dxa"/>
            <w:vMerge w:val="continue"/>
            <w:vAlign w:val="center"/>
          </w:tcPr>
          <w:p w14:paraId="7CF2F837">
            <w:pPr>
              <w:widowControl/>
              <w:jc w:val="left"/>
              <w:rPr>
                <w:rFonts w:ascii="Times New Roman" w:hAnsi="Times New Roman" w:eastAsia="仿宋_GB2312" w:cs="Times New Roman"/>
                <w:kern w:val="0"/>
                <w:szCs w:val="21"/>
              </w:rPr>
            </w:pPr>
          </w:p>
        </w:tc>
        <w:tc>
          <w:tcPr>
            <w:tcW w:w="2000" w:type="dxa"/>
            <w:vMerge w:val="continue"/>
            <w:vAlign w:val="center"/>
          </w:tcPr>
          <w:p w14:paraId="170E1F10">
            <w:pPr>
              <w:widowControl/>
              <w:jc w:val="left"/>
              <w:rPr>
                <w:rFonts w:ascii="Times New Roman" w:hAnsi="Times New Roman" w:eastAsia="仿宋_GB2312" w:cs="Times New Roman"/>
                <w:kern w:val="0"/>
                <w:szCs w:val="21"/>
              </w:rPr>
            </w:pPr>
          </w:p>
        </w:tc>
        <w:tc>
          <w:tcPr>
            <w:tcW w:w="2000" w:type="dxa"/>
            <w:vMerge w:val="continue"/>
            <w:vAlign w:val="center"/>
          </w:tcPr>
          <w:p w14:paraId="2286EB6B">
            <w:pPr>
              <w:widowControl/>
              <w:jc w:val="left"/>
              <w:rPr>
                <w:rFonts w:ascii="Times New Roman" w:hAnsi="Times New Roman" w:eastAsia="仿宋_GB2312" w:cs="Times New Roman"/>
                <w:kern w:val="0"/>
                <w:szCs w:val="21"/>
              </w:rPr>
            </w:pPr>
          </w:p>
        </w:tc>
        <w:tc>
          <w:tcPr>
            <w:tcW w:w="2000" w:type="dxa"/>
            <w:vMerge w:val="continue"/>
            <w:vAlign w:val="center"/>
          </w:tcPr>
          <w:p w14:paraId="0D9418F5">
            <w:pPr>
              <w:widowControl/>
              <w:jc w:val="left"/>
              <w:rPr>
                <w:rFonts w:ascii="Times New Roman" w:hAnsi="Times New Roman" w:eastAsia="仿宋_GB2312" w:cs="Times New Roman"/>
                <w:kern w:val="0"/>
                <w:szCs w:val="21"/>
              </w:rPr>
            </w:pPr>
          </w:p>
        </w:tc>
      </w:tr>
      <w:tr w14:paraId="15F511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14:paraId="3AD61E2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14:paraId="6ED5901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14:paraId="74594C1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14:paraId="2E92CE7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14:paraId="4D6BDF9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14:paraId="13E460B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14:paraId="618CA9D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14:paraId="5D6E9A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14:paraId="11FE173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14:paraId="0E783E2B">
            <w:pPr>
              <w:widowControl/>
              <w:jc w:val="left"/>
              <w:rPr>
                <w:rFonts w:hint="eastAsia" w:ascii="Times New Roman" w:hAnsi="Times New Roman" w:eastAsia="仿宋_GB2312" w:cs="Times New Roman"/>
                <w:kern w:val="0"/>
                <w:sz w:val="21"/>
                <w:szCs w:val="21"/>
                <w:lang w:val="en-US" w:eastAsia="zh-CN" w:bidi="ar-SA"/>
              </w:rPr>
            </w:pPr>
          </w:p>
        </w:tc>
        <w:tc>
          <w:tcPr>
            <w:tcW w:w="2000" w:type="dxa"/>
            <w:shd w:val="clear" w:color="auto" w:fill="auto"/>
            <w:vAlign w:val="center"/>
          </w:tcPr>
          <w:p w14:paraId="3AF74846">
            <w:pPr>
              <w:widowControl/>
              <w:jc w:val="left"/>
              <w:rPr>
                <w:rFonts w:hint="eastAsia" w:ascii="Times New Roman" w:hAnsi="Times New Roman" w:eastAsia="仿宋_GB2312" w:cs="Times New Roman"/>
                <w:kern w:val="0"/>
                <w:sz w:val="21"/>
                <w:szCs w:val="21"/>
                <w:lang w:val="en-US" w:eastAsia="zh-CN" w:bidi="ar-SA"/>
              </w:rPr>
            </w:pPr>
          </w:p>
        </w:tc>
        <w:tc>
          <w:tcPr>
            <w:tcW w:w="2000" w:type="dxa"/>
            <w:shd w:val="clear" w:color="auto" w:fill="auto"/>
            <w:vAlign w:val="center"/>
          </w:tcPr>
          <w:p w14:paraId="0B9D521F">
            <w:pPr>
              <w:widowControl/>
              <w:jc w:val="left"/>
              <w:rPr>
                <w:rFonts w:hint="eastAsia" w:ascii="Times New Roman" w:hAnsi="Times New Roman" w:eastAsia="仿宋_GB2312" w:cs="Times New Roman"/>
                <w:kern w:val="0"/>
                <w:sz w:val="21"/>
                <w:szCs w:val="21"/>
                <w:lang w:val="en-US" w:eastAsia="zh-CN" w:bidi="ar-SA"/>
              </w:rPr>
            </w:pPr>
          </w:p>
        </w:tc>
        <w:tc>
          <w:tcPr>
            <w:tcW w:w="2000" w:type="dxa"/>
            <w:shd w:val="clear" w:color="auto" w:fill="auto"/>
            <w:vAlign w:val="center"/>
          </w:tcPr>
          <w:p w14:paraId="6D6959EF">
            <w:pPr>
              <w:widowControl/>
              <w:jc w:val="left"/>
              <w:rPr>
                <w:rFonts w:hint="eastAsia" w:ascii="Times New Roman" w:hAnsi="Times New Roman" w:eastAsia="仿宋_GB2312" w:cs="Times New Roman"/>
                <w:kern w:val="0"/>
                <w:sz w:val="21"/>
                <w:szCs w:val="21"/>
                <w:lang w:val="en-US" w:eastAsia="zh-CN" w:bidi="ar-SA"/>
              </w:rPr>
            </w:pPr>
          </w:p>
        </w:tc>
        <w:tc>
          <w:tcPr>
            <w:tcW w:w="2000" w:type="dxa"/>
            <w:shd w:val="clear" w:color="auto" w:fill="auto"/>
            <w:vAlign w:val="center"/>
          </w:tcPr>
          <w:p w14:paraId="1B0390AF">
            <w:pPr>
              <w:widowControl/>
              <w:jc w:val="left"/>
              <w:rPr>
                <w:rFonts w:hint="eastAsia" w:ascii="Times New Roman" w:hAnsi="Times New Roman" w:eastAsia="仿宋_GB2312" w:cs="Times New Roman"/>
                <w:kern w:val="0"/>
                <w:sz w:val="21"/>
                <w:szCs w:val="21"/>
                <w:lang w:val="en-US" w:eastAsia="zh-CN" w:bidi="ar-SA"/>
              </w:rPr>
            </w:pPr>
          </w:p>
        </w:tc>
        <w:tc>
          <w:tcPr>
            <w:tcW w:w="2000" w:type="dxa"/>
            <w:shd w:val="clear" w:color="auto" w:fill="auto"/>
            <w:vAlign w:val="center"/>
          </w:tcPr>
          <w:p w14:paraId="5E348C5E">
            <w:pPr>
              <w:widowControl/>
              <w:jc w:val="left"/>
              <w:rPr>
                <w:rFonts w:hint="eastAsia" w:ascii="Times New Roman" w:hAnsi="Times New Roman" w:eastAsia="仿宋_GB2312" w:cs="Times New Roman"/>
                <w:kern w:val="0"/>
                <w:sz w:val="21"/>
                <w:szCs w:val="21"/>
                <w:lang w:val="en-US" w:eastAsia="zh-CN" w:bidi="ar-SA"/>
              </w:rPr>
            </w:pPr>
          </w:p>
        </w:tc>
      </w:tr>
      <w:tr w14:paraId="21D828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43D03A13">
            <w:pPr>
              <w:widowControl/>
              <w:jc w:val="center"/>
              <w:rPr>
                <w:rFonts w:hint="eastAsia" w:ascii="Times New Roman" w:hAnsi="Times New Roman" w:eastAsia="仿宋_GB2312" w:cs="Times New Roman"/>
                <w:kern w:val="0"/>
                <w:szCs w:val="21"/>
                <w:lang w:val="en-US" w:eastAsia="zh-CN"/>
              </w:rPr>
            </w:pPr>
          </w:p>
        </w:tc>
        <w:tc>
          <w:tcPr>
            <w:tcW w:w="1320" w:type="dxa"/>
            <w:shd w:val="clear" w:color="auto" w:fill="auto"/>
            <w:vAlign w:val="center"/>
          </w:tcPr>
          <w:p w14:paraId="7D0912D9">
            <w:pPr>
              <w:widowControl/>
              <w:jc w:val="left"/>
              <w:rPr>
                <w:rFonts w:hint="eastAsia" w:ascii="Times New Roman" w:hAnsi="Times New Roman" w:eastAsia="仿宋_GB2312" w:cs="Times New Roman"/>
                <w:kern w:val="0"/>
                <w:szCs w:val="21"/>
                <w:lang w:val="en-US" w:eastAsia="zh-CN"/>
              </w:rPr>
            </w:pPr>
          </w:p>
        </w:tc>
        <w:tc>
          <w:tcPr>
            <w:tcW w:w="2000" w:type="dxa"/>
            <w:shd w:val="clear" w:color="auto" w:fill="auto"/>
            <w:vAlign w:val="center"/>
          </w:tcPr>
          <w:p w14:paraId="186E6F58">
            <w:pPr>
              <w:widowControl/>
              <w:jc w:val="left"/>
              <w:rPr>
                <w:rFonts w:hint="eastAsia" w:ascii="Times New Roman" w:hAnsi="Times New Roman" w:eastAsia="仿宋_GB2312" w:cs="Times New Roman"/>
                <w:kern w:val="0"/>
                <w:szCs w:val="21"/>
                <w:lang w:val="en-US" w:eastAsia="zh-CN"/>
              </w:rPr>
            </w:pPr>
          </w:p>
        </w:tc>
        <w:tc>
          <w:tcPr>
            <w:tcW w:w="2000" w:type="dxa"/>
            <w:shd w:val="clear" w:color="auto" w:fill="auto"/>
            <w:vAlign w:val="center"/>
          </w:tcPr>
          <w:p w14:paraId="7F14F808">
            <w:pPr>
              <w:widowControl/>
              <w:jc w:val="left"/>
              <w:rPr>
                <w:rFonts w:hint="eastAsia" w:ascii="Times New Roman" w:hAnsi="Times New Roman" w:eastAsia="仿宋_GB2312" w:cs="Times New Roman"/>
                <w:kern w:val="0"/>
                <w:szCs w:val="21"/>
                <w:lang w:val="en-US" w:eastAsia="zh-CN"/>
              </w:rPr>
            </w:pPr>
          </w:p>
        </w:tc>
        <w:tc>
          <w:tcPr>
            <w:tcW w:w="2000" w:type="dxa"/>
            <w:shd w:val="clear" w:color="auto" w:fill="auto"/>
            <w:vAlign w:val="center"/>
          </w:tcPr>
          <w:p w14:paraId="0C833740">
            <w:pPr>
              <w:widowControl/>
              <w:jc w:val="left"/>
              <w:rPr>
                <w:rFonts w:hint="eastAsia" w:ascii="Times New Roman" w:hAnsi="Times New Roman" w:eastAsia="仿宋_GB2312" w:cs="Times New Roman"/>
                <w:kern w:val="0"/>
                <w:szCs w:val="21"/>
                <w:lang w:val="en-US" w:eastAsia="zh-CN"/>
              </w:rPr>
            </w:pPr>
          </w:p>
        </w:tc>
        <w:tc>
          <w:tcPr>
            <w:tcW w:w="2000" w:type="dxa"/>
            <w:shd w:val="clear" w:color="auto" w:fill="auto"/>
            <w:vAlign w:val="center"/>
          </w:tcPr>
          <w:p w14:paraId="529A8F66">
            <w:pPr>
              <w:widowControl/>
              <w:jc w:val="left"/>
              <w:rPr>
                <w:rFonts w:hint="eastAsia" w:ascii="Times New Roman" w:hAnsi="Times New Roman" w:eastAsia="仿宋_GB2312" w:cs="Times New Roman"/>
                <w:kern w:val="0"/>
                <w:szCs w:val="21"/>
                <w:lang w:val="en-US" w:eastAsia="zh-CN"/>
              </w:rPr>
            </w:pPr>
          </w:p>
        </w:tc>
        <w:tc>
          <w:tcPr>
            <w:tcW w:w="2000" w:type="dxa"/>
            <w:shd w:val="clear" w:color="auto" w:fill="auto"/>
            <w:vAlign w:val="center"/>
          </w:tcPr>
          <w:p w14:paraId="31E815BA">
            <w:pPr>
              <w:widowControl/>
              <w:jc w:val="left"/>
              <w:rPr>
                <w:rFonts w:hint="eastAsia" w:ascii="Times New Roman" w:hAnsi="Times New Roman" w:eastAsia="仿宋_GB2312" w:cs="Times New Roman"/>
                <w:kern w:val="0"/>
                <w:szCs w:val="21"/>
                <w:lang w:val="en-US" w:eastAsia="zh-CN"/>
              </w:rPr>
            </w:pPr>
          </w:p>
        </w:tc>
        <w:tc>
          <w:tcPr>
            <w:tcW w:w="2000" w:type="dxa"/>
            <w:shd w:val="clear" w:color="auto" w:fill="auto"/>
            <w:vAlign w:val="center"/>
          </w:tcPr>
          <w:p w14:paraId="2C7AF8E4">
            <w:pPr>
              <w:widowControl/>
              <w:jc w:val="left"/>
              <w:rPr>
                <w:rFonts w:hint="eastAsia" w:ascii="Times New Roman" w:hAnsi="Times New Roman" w:eastAsia="仿宋_GB2312" w:cs="Times New Roman"/>
                <w:kern w:val="0"/>
                <w:szCs w:val="21"/>
                <w:lang w:val="en-US" w:eastAsia="zh-CN"/>
              </w:rPr>
            </w:pPr>
          </w:p>
        </w:tc>
      </w:tr>
      <w:tr w14:paraId="33E5A8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0F49FB9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14:paraId="7625A9F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754CA9E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45A09DD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335F2F6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4E7F330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104950D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7861558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5A3FA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160D40A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14:paraId="16D6237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713A7F9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3D7E993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173ADAE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0137D9B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2E94BBF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5A364C6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88FAF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513A518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14:paraId="5CA955F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534D8EC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3AB2731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22CA547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7662318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551C47B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485C03F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87449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559A210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14:paraId="5AE3C8B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309B5B2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61AA1ED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070A4CE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01704DC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274AF69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3761114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4394E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5BD1776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14:paraId="51C0D0B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3520069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6CC5F61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53DDEF7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21B5FEF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721E76D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57C620A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14:paraId="4DDB02F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14:paraId="3B0651D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说明：本单位没有政府性基金收入，也没有使用政府性基金安排的支出，故本表无数据</w:t>
      </w:r>
      <w:r>
        <w:rPr>
          <w:rFonts w:ascii="Times New Roman" w:hAnsi="Times New Roman" w:eastAsia="仿宋_GB2312" w:cs="Times New Roman"/>
          <w:kern w:val="0"/>
          <w:szCs w:val="21"/>
        </w:rPr>
        <w:t>)。</w:t>
      </w:r>
    </w:p>
    <w:p w14:paraId="02A15F1A">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14:paraId="61721498">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14:paraId="3E7B94EE">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14:paraId="7ADA3BC3">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14:paraId="76438D18">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14:paraId="1AD664DC">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14:paraId="5C1D1D84">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14:paraId="27920711">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14:paraId="69692059">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14:paraId="673214E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14:paraId="3ECB462C">
        <w:tblPrEx>
          <w:tblCellMar>
            <w:top w:w="0" w:type="dxa"/>
            <w:left w:w="108" w:type="dxa"/>
            <w:bottom w:w="0" w:type="dxa"/>
            <w:right w:w="108" w:type="dxa"/>
          </w:tblCellMar>
        </w:tblPrEx>
        <w:trPr>
          <w:trHeight w:val="285" w:hRule="atLeast"/>
        </w:trPr>
        <w:tc>
          <w:tcPr>
            <w:tcW w:w="8680" w:type="dxa"/>
            <w:gridSpan w:val="7"/>
            <w:tcBorders>
              <w:top w:val="nil"/>
              <w:left w:val="nil"/>
              <w:bottom w:val="nil"/>
              <w:right w:val="nil"/>
            </w:tcBorders>
            <w:shd w:val="clear" w:color="000000" w:fill="FFFFFF"/>
            <w:noWrap/>
            <w:vAlign w:val="center"/>
          </w:tcPr>
          <w:p w14:paraId="30BD9CE6">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部门：湖南省地质矿产勘查开发局四〇三队</w:t>
            </w:r>
          </w:p>
        </w:tc>
        <w:tc>
          <w:tcPr>
            <w:tcW w:w="5510" w:type="dxa"/>
            <w:gridSpan w:val="2"/>
            <w:tcBorders>
              <w:top w:val="nil"/>
              <w:left w:val="nil"/>
              <w:bottom w:val="nil"/>
              <w:right w:val="nil"/>
            </w:tcBorders>
            <w:shd w:val="clear" w:color="000000" w:fill="FFFFFF"/>
            <w:noWrap/>
            <w:vAlign w:val="center"/>
          </w:tcPr>
          <w:p w14:paraId="75FD6D6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568914EF">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14:paraId="2F7BD6A7">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14:paraId="47FAC8BC">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14:paraId="12B0977F">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681561A5">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14:paraId="159F7812">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5248B3AC">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0C2684D3">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14:paraId="3BF28351">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14:paraId="25EDD256">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14:paraId="47D84AC9">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14:paraId="4A89EC68">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14:paraId="0831CD63">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14:paraId="4A613875">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14:paraId="3A069792">
            <w:pPr>
              <w:widowControl/>
              <w:jc w:val="left"/>
              <w:rPr>
                <w:rFonts w:ascii="宋体" w:hAnsi="宋体" w:eastAsia="宋体" w:cs="宋体"/>
                <w:kern w:val="0"/>
                <w:sz w:val="24"/>
                <w:szCs w:val="24"/>
              </w:rPr>
            </w:pPr>
          </w:p>
        </w:tc>
      </w:tr>
      <w:tr w14:paraId="54C4D064">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14:paraId="354BA1AE">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14:paraId="6764B565">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14:paraId="2A442886">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14:paraId="2F9876F8">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14:paraId="24E088E3">
            <w:pPr>
              <w:widowControl/>
              <w:jc w:val="left"/>
              <w:rPr>
                <w:rFonts w:ascii="宋体" w:hAnsi="宋体" w:eastAsia="宋体" w:cs="宋体"/>
                <w:kern w:val="0"/>
                <w:sz w:val="24"/>
                <w:szCs w:val="24"/>
              </w:rPr>
            </w:pPr>
          </w:p>
        </w:tc>
      </w:tr>
      <w:tr w14:paraId="7F82216E">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14:paraId="79132EE8">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14:paraId="6EC797D4">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14:paraId="3EE7268B">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14:paraId="3DAC315E">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73E8160E">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14:paraId="21699E91">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14:paraId="153B899B">
            <w:pPr>
              <w:widowControl/>
              <w:jc w:val="center"/>
              <w:rPr>
                <w:rFonts w:ascii="宋体" w:hAnsi="宋体" w:eastAsia="宋体" w:cs="宋体"/>
                <w:kern w:val="0"/>
                <w:sz w:val="24"/>
                <w:szCs w:val="24"/>
              </w:rPr>
            </w:pPr>
          </w:p>
        </w:tc>
        <w:tc>
          <w:tcPr>
            <w:tcW w:w="2977" w:type="dxa"/>
            <w:gridSpan w:val="2"/>
            <w:tcBorders>
              <w:top w:val="nil"/>
              <w:left w:val="nil"/>
              <w:bottom w:val="single" w:color="auto" w:sz="4" w:space="0"/>
              <w:right w:val="single" w:color="auto" w:sz="4" w:space="0"/>
            </w:tcBorders>
            <w:shd w:val="clear" w:color="auto" w:fill="auto"/>
            <w:vAlign w:val="center"/>
          </w:tcPr>
          <w:p w14:paraId="7A7E699A">
            <w:pPr>
              <w:widowControl/>
              <w:jc w:val="center"/>
              <w:rPr>
                <w:rFonts w:ascii="宋体" w:hAnsi="宋体" w:eastAsia="宋体" w:cs="宋体"/>
                <w:kern w:val="0"/>
                <w:sz w:val="24"/>
                <w:szCs w:val="24"/>
              </w:rPr>
            </w:pPr>
          </w:p>
        </w:tc>
        <w:tc>
          <w:tcPr>
            <w:tcW w:w="3827" w:type="dxa"/>
            <w:tcBorders>
              <w:top w:val="nil"/>
              <w:left w:val="nil"/>
              <w:bottom w:val="single" w:color="auto" w:sz="4" w:space="0"/>
              <w:right w:val="single" w:color="auto" w:sz="4" w:space="0"/>
            </w:tcBorders>
            <w:shd w:val="clear" w:color="auto" w:fill="auto"/>
            <w:vAlign w:val="center"/>
          </w:tcPr>
          <w:p w14:paraId="51B4083D">
            <w:pPr>
              <w:widowControl/>
              <w:jc w:val="center"/>
              <w:rPr>
                <w:rFonts w:ascii="宋体" w:hAnsi="宋体" w:eastAsia="宋体" w:cs="宋体"/>
                <w:kern w:val="0"/>
                <w:sz w:val="24"/>
                <w:szCs w:val="24"/>
              </w:rPr>
            </w:pPr>
          </w:p>
        </w:tc>
      </w:tr>
      <w:tr w14:paraId="5A2576D1">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4338FE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14:paraId="56E8879E">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14:paraId="64CB56A0">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14:paraId="62D062D2">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14:paraId="50A46F55">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283059F1">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7AF6B0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14:paraId="7A4BCAAF">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14:paraId="3B35BD59">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14:paraId="6E0C8517">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14:paraId="0B1786DB">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6FF3032C">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73BD60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14:paraId="504A4253">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14:paraId="74D17853">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14:paraId="3AC8064C">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14:paraId="4B2391FC">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4FCF72FC">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81E77A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14:paraId="4DBD60AB">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14:paraId="0AF7ED39">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14:paraId="22D07D8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14:paraId="20F303C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39771BC1">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5F076F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14:paraId="0E2A4A5F">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14:paraId="697F364E">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14:paraId="476882F7">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14:paraId="5996EBB8">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07265280">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14:paraId="3E46E41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14:paraId="382A2F1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14:paraId="36B3F1CE">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14:paraId="2BF3E098">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14:paraId="6C05DA19">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768D3548">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14:paraId="0210669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14:paraId="0F781BC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说明：本单位没有</w:t>
            </w:r>
            <w:r>
              <w:rPr>
                <w:rFonts w:hint="eastAsia" w:ascii="Times New Roman" w:hAnsi="Times New Roman" w:eastAsia="仿宋_GB2312" w:cs="Times New Roman"/>
                <w:kern w:val="0"/>
                <w:szCs w:val="21"/>
                <w:lang w:eastAsia="zh-CN"/>
              </w:rPr>
              <w:t>国有资本经营预算财政拨款收入和支出</w:t>
            </w:r>
            <w:r>
              <w:rPr>
                <w:rFonts w:hint="eastAsia" w:ascii="Times New Roman" w:hAnsi="Times New Roman" w:eastAsia="仿宋_GB2312" w:cs="Times New Roman"/>
                <w:kern w:val="0"/>
                <w:szCs w:val="21"/>
              </w:rPr>
              <w:t>，故本表无数据</w:t>
            </w:r>
            <w:r>
              <w:rPr>
                <w:rFonts w:ascii="Times New Roman" w:hAnsi="Times New Roman" w:eastAsia="仿宋_GB2312" w:cs="Times New Roman"/>
                <w:kern w:val="0"/>
                <w:szCs w:val="21"/>
              </w:rPr>
              <w:t>)。</w:t>
            </w:r>
          </w:p>
          <w:p w14:paraId="4C76D21D">
            <w:pPr>
              <w:widowControl/>
              <w:jc w:val="left"/>
              <w:rPr>
                <w:rFonts w:hint="eastAsia" w:ascii="宋体" w:hAnsi="宋体" w:eastAsia="宋体" w:cs="宋体"/>
                <w:kern w:val="0"/>
                <w:sz w:val="24"/>
                <w:szCs w:val="24"/>
              </w:rPr>
            </w:pPr>
          </w:p>
        </w:tc>
      </w:tr>
    </w:tbl>
    <w:p w14:paraId="31613013">
      <w:pPr>
        <w:pStyle w:val="11"/>
        <w:rPr>
          <w:sz w:val="72"/>
          <w:szCs w:val="7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14:paraId="7B3F5FF0">
      <w:pPr>
        <w:pStyle w:val="11"/>
        <w:rPr>
          <w:sz w:val="72"/>
          <w:szCs w:val="72"/>
        </w:rPr>
      </w:pPr>
    </w:p>
    <w:p w14:paraId="46A329BD">
      <w:pPr>
        <w:pStyle w:val="11"/>
        <w:rPr>
          <w:sz w:val="72"/>
          <w:szCs w:val="72"/>
        </w:rPr>
      </w:pPr>
    </w:p>
    <w:p w14:paraId="04E85014">
      <w:pPr>
        <w:pStyle w:val="11"/>
        <w:rPr>
          <w:sz w:val="72"/>
          <w:szCs w:val="72"/>
        </w:rPr>
      </w:pPr>
    </w:p>
    <w:p w14:paraId="66228153">
      <w:pPr>
        <w:pStyle w:val="11"/>
        <w:rPr>
          <w:sz w:val="72"/>
          <w:szCs w:val="72"/>
        </w:rPr>
      </w:pPr>
    </w:p>
    <w:p w14:paraId="7CD38E1E">
      <w:pPr>
        <w:pStyle w:val="11"/>
        <w:jc w:val="center"/>
        <w:rPr>
          <w:sz w:val="72"/>
          <w:szCs w:val="72"/>
        </w:rPr>
      </w:pPr>
    </w:p>
    <w:p w14:paraId="464A3422">
      <w:pPr>
        <w:pStyle w:val="11"/>
        <w:jc w:val="center"/>
        <w:rPr>
          <w:sz w:val="72"/>
          <w:szCs w:val="72"/>
        </w:rPr>
      </w:pPr>
    </w:p>
    <w:p w14:paraId="59D0F240">
      <w:pPr>
        <w:pStyle w:val="11"/>
        <w:jc w:val="center"/>
        <w:rPr>
          <w:sz w:val="72"/>
          <w:szCs w:val="72"/>
        </w:rPr>
      </w:pPr>
      <w:r>
        <w:rPr>
          <w:rFonts w:hint="eastAsia"/>
          <w:sz w:val="72"/>
          <w:szCs w:val="72"/>
        </w:rPr>
        <w:t>第三部分</w:t>
      </w:r>
    </w:p>
    <w:p w14:paraId="2A9143E4">
      <w:pPr>
        <w:pStyle w:val="11"/>
        <w:jc w:val="center"/>
        <w:rPr>
          <w:sz w:val="70"/>
          <w:szCs w:val="70"/>
        </w:rPr>
      </w:pPr>
    </w:p>
    <w:p w14:paraId="1BCEFE47">
      <w:pPr>
        <w:pStyle w:val="11"/>
        <w:jc w:val="center"/>
        <w:rPr>
          <w:sz w:val="70"/>
          <w:szCs w:val="70"/>
        </w:rPr>
      </w:pPr>
      <w:r>
        <w:rPr>
          <w:sz w:val="70"/>
          <w:szCs w:val="70"/>
        </w:rPr>
        <w:t>20</w:t>
      </w:r>
      <w:r>
        <w:rPr>
          <w:rFonts w:hint="eastAsia"/>
          <w:sz w:val="70"/>
          <w:szCs w:val="70"/>
        </w:rPr>
        <w:t>21年度部门决算情况说明</w:t>
      </w:r>
    </w:p>
    <w:p w14:paraId="5231FF96">
      <w:pPr>
        <w:widowControl/>
        <w:jc w:val="left"/>
        <w:rPr>
          <w:rFonts w:asciiTheme="minorEastAsia" w:hAnsiTheme="minorEastAsia"/>
          <w:sz w:val="32"/>
          <w:szCs w:val="32"/>
        </w:rPr>
      </w:pPr>
      <w:r>
        <w:rPr>
          <w:sz w:val="70"/>
          <w:szCs w:val="70"/>
        </w:rPr>
        <w:br w:type="page"/>
      </w:r>
    </w:p>
    <w:p w14:paraId="24939A9E">
      <w:pPr>
        <w:pStyle w:val="11"/>
        <w:ind w:firstLine="643" w:firstLineChars="200"/>
        <w:rPr>
          <w:rFonts w:hAnsi="黑体"/>
          <w:b/>
          <w:sz w:val="32"/>
          <w:szCs w:val="32"/>
        </w:rPr>
      </w:pPr>
      <w:r>
        <w:rPr>
          <w:rFonts w:hint="eastAsia" w:hAnsi="黑体"/>
          <w:b/>
          <w:sz w:val="32"/>
          <w:szCs w:val="32"/>
        </w:rPr>
        <w:t>一、收入支出决算总体情况说明</w:t>
      </w:r>
    </w:p>
    <w:p w14:paraId="3EDA548A">
      <w:pPr>
        <w:pStyle w:val="11"/>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highlight w:val="none"/>
        </w:rPr>
        <w:t>2021年度部门决算总收入</w:t>
      </w:r>
      <w:r>
        <w:rPr>
          <w:rFonts w:asciiTheme="minorEastAsia" w:hAnsiTheme="minorEastAsia" w:eastAsiaTheme="minorEastAsia"/>
          <w:sz w:val="28"/>
          <w:szCs w:val="28"/>
          <w:highlight w:val="none"/>
        </w:rPr>
        <w:t>8850.89</w:t>
      </w:r>
      <w:r>
        <w:rPr>
          <w:rFonts w:hint="eastAsia" w:asciiTheme="minorEastAsia" w:hAnsiTheme="minorEastAsia" w:eastAsiaTheme="minorEastAsia"/>
          <w:sz w:val="28"/>
          <w:szCs w:val="28"/>
          <w:highlight w:val="none"/>
        </w:rPr>
        <w:t>万元（含年初结转和结余199.</w:t>
      </w:r>
      <w:r>
        <w:rPr>
          <w:rFonts w:hint="eastAsia" w:asciiTheme="minorEastAsia" w:hAnsiTheme="minorEastAsia" w:eastAsiaTheme="minorEastAsia"/>
          <w:sz w:val="28"/>
          <w:szCs w:val="28"/>
          <w:highlight w:val="none"/>
          <w:lang w:val="en-US" w:eastAsia="zh-CN"/>
        </w:rPr>
        <w:t>6</w:t>
      </w:r>
      <w:r>
        <w:rPr>
          <w:rFonts w:hint="eastAsia" w:asciiTheme="minorEastAsia" w:hAnsiTheme="minorEastAsia" w:eastAsiaTheme="minorEastAsia"/>
          <w:sz w:val="28"/>
          <w:szCs w:val="28"/>
          <w:highlight w:val="none"/>
        </w:rPr>
        <w:t>1万元），与上年相比，减少</w:t>
      </w:r>
      <w:r>
        <w:rPr>
          <w:rFonts w:asciiTheme="minorEastAsia" w:hAnsiTheme="minorEastAsia" w:eastAsiaTheme="minorEastAsia"/>
          <w:sz w:val="28"/>
          <w:szCs w:val="28"/>
          <w:highlight w:val="none"/>
        </w:rPr>
        <w:t>1408</w:t>
      </w:r>
      <w:r>
        <w:rPr>
          <w:rFonts w:hint="eastAsia" w:asciiTheme="minorEastAsia" w:hAnsiTheme="minorEastAsia" w:eastAsiaTheme="minorEastAsia"/>
          <w:sz w:val="28"/>
          <w:szCs w:val="28"/>
          <w:highlight w:val="none"/>
        </w:rPr>
        <w:t>万元，减少了</w:t>
      </w:r>
      <w:r>
        <w:rPr>
          <w:rFonts w:asciiTheme="minorEastAsia" w:hAnsiTheme="minorEastAsia" w:eastAsiaTheme="minorEastAsia"/>
          <w:sz w:val="28"/>
          <w:szCs w:val="28"/>
          <w:highlight w:val="none"/>
        </w:rPr>
        <w:t>13.72%</w:t>
      </w:r>
      <w:r>
        <w:rPr>
          <w:rFonts w:hint="eastAsia" w:asciiTheme="minorEastAsia" w:hAnsiTheme="minorEastAsia" w:eastAsiaTheme="minorEastAsia"/>
          <w:sz w:val="28"/>
          <w:szCs w:val="28"/>
          <w:highlight w:val="none"/>
        </w:rPr>
        <w:t>。主要原因是财政拨款减少，市场项目滑坡；支出总计</w:t>
      </w:r>
      <w:r>
        <w:rPr>
          <w:rFonts w:asciiTheme="minorEastAsia" w:hAnsiTheme="minorEastAsia" w:eastAsiaTheme="minorEastAsia"/>
          <w:sz w:val="28"/>
          <w:szCs w:val="28"/>
          <w:highlight w:val="none"/>
        </w:rPr>
        <w:t>8850.89</w:t>
      </w:r>
      <w:r>
        <w:rPr>
          <w:rFonts w:hint="eastAsia" w:asciiTheme="minorEastAsia" w:hAnsiTheme="minorEastAsia" w:eastAsiaTheme="minorEastAsia"/>
          <w:sz w:val="28"/>
          <w:szCs w:val="28"/>
          <w:highlight w:val="none"/>
        </w:rPr>
        <w:t>万元（含结余分配2</w:t>
      </w:r>
      <w:r>
        <w:rPr>
          <w:rFonts w:asciiTheme="minorEastAsia" w:hAnsiTheme="minorEastAsia" w:eastAsiaTheme="minorEastAsia"/>
          <w:sz w:val="28"/>
          <w:szCs w:val="28"/>
          <w:highlight w:val="none"/>
        </w:rPr>
        <w:t>00.36</w:t>
      </w:r>
      <w:r>
        <w:rPr>
          <w:rFonts w:hint="eastAsia" w:asciiTheme="minorEastAsia" w:hAnsiTheme="minorEastAsia" w:eastAsiaTheme="minorEastAsia"/>
          <w:sz w:val="28"/>
          <w:szCs w:val="28"/>
          <w:highlight w:val="none"/>
        </w:rPr>
        <w:t>万元，年末结转和结余2</w:t>
      </w:r>
      <w:r>
        <w:rPr>
          <w:rFonts w:asciiTheme="minorEastAsia" w:hAnsiTheme="minorEastAsia" w:eastAsiaTheme="minorEastAsia"/>
          <w:sz w:val="28"/>
          <w:szCs w:val="28"/>
          <w:highlight w:val="none"/>
        </w:rPr>
        <w:t>19.51</w:t>
      </w:r>
      <w:r>
        <w:rPr>
          <w:rFonts w:hint="eastAsia" w:asciiTheme="minorEastAsia" w:hAnsiTheme="minorEastAsia" w:eastAsiaTheme="minorEastAsia"/>
          <w:sz w:val="28"/>
          <w:szCs w:val="28"/>
          <w:highlight w:val="none"/>
        </w:rPr>
        <w:t>万元），与上年相比，减少</w:t>
      </w:r>
      <w:r>
        <w:rPr>
          <w:rFonts w:asciiTheme="minorEastAsia" w:hAnsiTheme="minorEastAsia" w:eastAsiaTheme="minorEastAsia"/>
          <w:sz w:val="28"/>
          <w:szCs w:val="28"/>
          <w:highlight w:val="none"/>
        </w:rPr>
        <w:t>1408</w:t>
      </w:r>
      <w:r>
        <w:rPr>
          <w:rFonts w:hint="eastAsia" w:asciiTheme="minorEastAsia" w:hAnsiTheme="minorEastAsia" w:eastAsiaTheme="minorEastAsia"/>
          <w:sz w:val="28"/>
          <w:szCs w:val="28"/>
          <w:highlight w:val="none"/>
        </w:rPr>
        <w:t>万元，减少了</w:t>
      </w:r>
      <w:r>
        <w:rPr>
          <w:rFonts w:asciiTheme="minorEastAsia" w:hAnsiTheme="minorEastAsia" w:eastAsiaTheme="minorEastAsia"/>
          <w:sz w:val="28"/>
          <w:szCs w:val="28"/>
          <w:highlight w:val="none"/>
        </w:rPr>
        <w:t>13.72%</w:t>
      </w:r>
      <w:r>
        <w:rPr>
          <w:rFonts w:hint="eastAsia" w:asciiTheme="minorEastAsia" w:hAnsiTheme="minorEastAsia" w:eastAsiaTheme="minorEastAsia"/>
          <w:sz w:val="28"/>
          <w:szCs w:val="28"/>
          <w:highlight w:val="none"/>
        </w:rPr>
        <w:t>。</w:t>
      </w:r>
      <w:r>
        <w:rPr>
          <w:rFonts w:hint="eastAsia" w:asciiTheme="minorEastAsia" w:hAnsiTheme="minorEastAsia" w:eastAsiaTheme="minorEastAsia"/>
          <w:color w:val="auto"/>
          <w:sz w:val="28"/>
          <w:szCs w:val="28"/>
        </w:rPr>
        <w:t>主要原因</w:t>
      </w:r>
      <w:r>
        <w:rPr>
          <w:rFonts w:hint="eastAsia" w:asciiTheme="minorEastAsia" w:hAnsiTheme="minorEastAsia" w:eastAsiaTheme="minorEastAsia"/>
          <w:color w:val="auto"/>
          <w:sz w:val="28"/>
          <w:szCs w:val="28"/>
          <w:lang w:eastAsia="zh-CN"/>
        </w:rPr>
        <w:t>是</w:t>
      </w:r>
      <w:r>
        <w:rPr>
          <w:rFonts w:hint="eastAsia" w:asciiTheme="minorEastAsia" w:hAnsiTheme="minorEastAsia" w:eastAsiaTheme="minorEastAsia"/>
          <w:color w:val="auto"/>
          <w:sz w:val="28"/>
          <w:szCs w:val="28"/>
        </w:rPr>
        <w:t>一般公共预算财政拨款收入减少，相应的支出也减少了</w:t>
      </w:r>
      <w:r>
        <w:rPr>
          <w:rFonts w:hint="eastAsia" w:asciiTheme="minorEastAsia" w:hAnsiTheme="minorEastAsia" w:eastAsiaTheme="minorEastAsia"/>
          <w:sz w:val="28"/>
          <w:szCs w:val="28"/>
        </w:rPr>
        <w:t>，市场经营滑坡，没接到项目相应成本支出也减少。</w:t>
      </w:r>
    </w:p>
    <w:p w14:paraId="47800387">
      <w:pPr>
        <w:pStyle w:val="11"/>
        <w:ind w:firstLine="643" w:firstLineChars="200"/>
        <w:rPr>
          <w:rFonts w:hAnsi="黑体"/>
          <w:b/>
          <w:sz w:val="32"/>
          <w:szCs w:val="32"/>
        </w:rPr>
      </w:pPr>
      <w:r>
        <w:rPr>
          <w:rFonts w:hint="eastAsia" w:hAnsi="黑体"/>
          <w:b/>
          <w:sz w:val="32"/>
          <w:szCs w:val="32"/>
        </w:rPr>
        <w:t>二、收入决算情况说明</w:t>
      </w:r>
    </w:p>
    <w:p w14:paraId="64693C21">
      <w:pPr>
        <w:pStyle w:val="11"/>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2021年度收入合计8651.28万元，其中：财政拨款收入3940.37万元，</w:t>
      </w:r>
      <w:r>
        <w:rPr>
          <w:rFonts w:hint="eastAsia" w:asciiTheme="minorEastAsia" w:hAnsiTheme="minorEastAsia" w:eastAsiaTheme="minorEastAsia"/>
          <w:sz w:val="28"/>
          <w:szCs w:val="28"/>
          <w:highlight w:val="none"/>
        </w:rPr>
        <w:t>占45.</w:t>
      </w:r>
      <w:r>
        <w:rPr>
          <w:rFonts w:asciiTheme="minorEastAsia" w:hAnsiTheme="minorEastAsia" w:eastAsiaTheme="minorEastAsia"/>
          <w:sz w:val="28"/>
          <w:szCs w:val="28"/>
          <w:highlight w:val="none"/>
        </w:rPr>
        <w:t>55</w:t>
      </w:r>
      <w:r>
        <w:rPr>
          <w:rFonts w:hint="eastAsia" w:asciiTheme="minorEastAsia" w:hAnsiTheme="minorEastAsia" w:eastAsiaTheme="minorEastAsia"/>
          <w:sz w:val="28"/>
          <w:szCs w:val="28"/>
          <w:highlight w:val="none"/>
        </w:rPr>
        <w:t>%；上级补助收入0万元，占0%；事业收入0万元，占0%；经营收入4710.91万元，占54.</w:t>
      </w:r>
      <w:r>
        <w:rPr>
          <w:rFonts w:asciiTheme="minorEastAsia" w:hAnsiTheme="minorEastAsia" w:eastAsiaTheme="minorEastAsia"/>
          <w:sz w:val="28"/>
          <w:szCs w:val="28"/>
          <w:highlight w:val="none"/>
        </w:rPr>
        <w:t>45</w:t>
      </w:r>
      <w:r>
        <w:rPr>
          <w:rFonts w:hint="eastAsia" w:asciiTheme="minorEastAsia" w:hAnsiTheme="minorEastAsia" w:eastAsiaTheme="minorEastAsia"/>
          <w:sz w:val="28"/>
          <w:szCs w:val="28"/>
          <w:highlight w:val="none"/>
        </w:rPr>
        <w:t>%</w:t>
      </w:r>
      <w:r>
        <w:rPr>
          <w:rFonts w:hint="eastAsia" w:asciiTheme="minorEastAsia" w:hAnsiTheme="minorEastAsia" w:eastAsiaTheme="minorEastAsia"/>
          <w:sz w:val="28"/>
          <w:szCs w:val="28"/>
        </w:rPr>
        <w:t>；附属单位上缴收入0万元，占0%；其他收入0万元，占0%。</w:t>
      </w:r>
    </w:p>
    <w:p w14:paraId="1CC73E1A">
      <w:pPr>
        <w:pStyle w:val="11"/>
        <w:ind w:firstLine="643" w:firstLineChars="200"/>
        <w:rPr>
          <w:rFonts w:hAnsi="黑体"/>
          <w:b/>
          <w:sz w:val="32"/>
          <w:szCs w:val="32"/>
        </w:rPr>
      </w:pPr>
      <w:r>
        <w:rPr>
          <w:rFonts w:hint="eastAsia" w:hAnsi="黑体"/>
          <w:b/>
          <w:sz w:val="32"/>
          <w:szCs w:val="32"/>
        </w:rPr>
        <w:t>三、支出决算情况说明</w:t>
      </w:r>
    </w:p>
    <w:p w14:paraId="2E794020">
      <w:pPr>
        <w:pStyle w:val="11"/>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2021年度支出合计8431.02万元，其中：基本支出3145.25万元，</w:t>
      </w:r>
      <w:r>
        <w:rPr>
          <w:rFonts w:hint="eastAsia" w:asciiTheme="minorEastAsia" w:hAnsiTheme="minorEastAsia" w:eastAsiaTheme="minorEastAsia"/>
          <w:color w:val="auto"/>
          <w:sz w:val="28"/>
          <w:szCs w:val="28"/>
          <w:highlight w:val="none"/>
        </w:rPr>
        <w:t>占37.3</w:t>
      </w:r>
      <w:r>
        <w:rPr>
          <w:rFonts w:asciiTheme="minorEastAsia" w:hAnsiTheme="minorEastAsia" w:eastAsiaTheme="minorEastAsia"/>
          <w:color w:val="auto"/>
          <w:sz w:val="28"/>
          <w:szCs w:val="28"/>
          <w:highlight w:val="none"/>
        </w:rPr>
        <w:t>0</w:t>
      </w:r>
      <w:r>
        <w:rPr>
          <w:rFonts w:hint="eastAsia" w:asciiTheme="minorEastAsia" w:hAnsiTheme="minorEastAsia" w:eastAsiaTheme="minorEastAsia"/>
          <w:color w:val="auto"/>
          <w:sz w:val="28"/>
          <w:szCs w:val="28"/>
          <w:highlight w:val="none"/>
        </w:rPr>
        <w:t>%；</w:t>
      </w:r>
      <w:r>
        <w:rPr>
          <w:rFonts w:hint="eastAsia" w:asciiTheme="minorEastAsia" w:hAnsiTheme="minorEastAsia" w:eastAsiaTheme="minorEastAsia"/>
          <w:sz w:val="28"/>
          <w:szCs w:val="28"/>
          <w:highlight w:val="none"/>
        </w:rPr>
        <w:t>项目支出775.22万元，占</w:t>
      </w:r>
      <w:r>
        <w:rPr>
          <w:rFonts w:hint="eastAsia" w:asciiTheme="minorEastAsia" w:hAnsiTheme="minorEastAsia" w:eastAsiaTheme="minorEastAsia"/>
          <w:color w:val="auto"/>
          <w:sz w:val="28"/>
          <w:szCs w:val="28"/>
          <w:highlight w:val="none"/>
        </w:rPr>
        <w:t>9</w:t>
      </w:r>
      <w:r>
        <w:rPr>
          <w:rFonts w:asciiTheme="minorEastAsia" w:hAnsiTheme="minorEastAsia" w:eastAsiaTheme="minorEastAsia"/>
          <w:color w:val="auto"/>
          <w:sz w:val="28"/>
          <w:szCs w:val="28"/>
          <w:highlight w:val="none"/>
        </w:rPr>
        <w:t>.19</w:t>
      </w:r>
      <w:r>
        <w:rPr>
          <w:rFonts w:hint="eastAsia" w:asciiTheme="minorEastAsia" w:hAnsiTheme="minorEastAsia" w:eastAsiaTheme="minorEastAsia"/>
          <w:color w:val="auto"/>
          <w:sz w:val="28"/>
          <w:szCs w:val="28"/>
          <w:highlight w:val="none"/>
        </w:rPr>
        <w:t>%</w:t>
      </w:r>
      <w:r>
        <w:rPr>
          <w:rFonts w:hint="eastAsia" w:asciiTheme="minorEastAsia" w:hAnsiTheme="minorEastAsia" w:eastAsiaTheme="minorEastAsia"/>
          <w:sz w:val="28"/>
          <w:szCs w:val="28"/>
          <w:highlight w:val="none"/>
        </w:rPr>
        <w:t>；上缴上级支出0万元，占0%；经营支出4510.55万元，占</w:t>
      </w:r>
      <w:r>
        <w:rPr>
          <w:rFonts w:hint="eastAsia" w:asciiTheme="minorEastAsia" w:hAnsiTheme="minorEastAsia" w:eastAsiaTheme="minorEastAsia"/>
          <w:color w:val="auto"/>
          <w:sz w:val="28"/>
          <w:szCs w:val="28"/>
          <w:highlight w:val="none"/>
        </w:rPr>
        <w:t>53.5</w:t>
      </w:r>
      <w:r>
        <w:rPr>
          <w:rFonts w:asciiTheme="minorEastAsia" w:hAnsiTheme="minorEastAsia" w:eastAsiaTheme="minorEastAsia"/>
          <w:color w:val="auto"/>
          <w:sz w:val="28"/>
          <w:szCs w:val="28"/>
          <w:highlight w:val="none"/>
        </w:rPr>
        <w:t>1</w:t>
      </w:r>
      <w:r>
        <w:rPr>
          <w:rFonts w:hint="eastAsia" w:asciiTheme="minorEastAsia" w:hAnsiTheme="minorEastAsia" w:eastAsiaTheme="minorEastAsia"/>
          <w:color w:val="auto"/>
          <w:sz w:val="28"/>
          <w:szCs w:val="28"/>
          <w:highlight w:val="none"/>
        </w:rPr>
        <w:t>%</w:t>
      </w:r>
      <w:r>
        <w:rPr>
          <w:rFonts w:hint="eastAsia" w:asciiTheme="minorEastAsia" w:hAnsiTheme="minorEastAsia" w:eastAsiaTheme="minorEastAsia"/>
          <w:sz w:val="28"/>
          <w:szCs w:val="28"/>
          <w:highlight w:val="none"/>
        </w:rPr>
        <w:t>；对附属单位补助支出0万元，</w:t>
      </w:r>
      <w:r>
        <w:rPr>
          <w:rFonts w:hint="eastAsia" w:asciiTheme="minorEastAsia" w:hAnsiTheme="minorEastAsia" w:eastAsiaTheme="minorEastAsia"/>
          <w:sz w:val="28"/>
          <w:szCs w:val="28"/>
        </w:rPr>
        <w:t>占0%。</w:t>
      </w:r>
    </w:p>
    <w:p w14:paraId="49CDD725">
      <w:pPr>
        <w:pStyle w:val="11"/>
        <w:ind w:firstLine="643" w:firstLineChars="200"/>
        <w:rPr>
          <w:rFonts w:hAnsi="黑体"/>
          <w:b/>
          <w:sz w:val="32"/>
          <w:szCs w:val="32"/>
        </w:rPr>
      </w:pPr>
      <w:r>
        <w:rPr>
          <w:rFonts w:hint="eastAsia" w:hAnsi="黑体"/>
          <w:b/>
          <w:sz w:val="32"/>
          <w:szCs w:val="32"/>
        </w:rPr>
        <w:t>四、财政拨款收入支出决算总体情况说明</w:t>
      </w:r>
    </w:p>
    <w:p w14:paraId="69FE6BE0">
      <w:pPr>
        <w:pStyle w:val="11"/>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highlight w:val="none"/>
        </w:rPr>
        <w:t>2021年度财政拨款收入总计</w:t>
      </w:r>
      <w:r>
        <w:rPr>
          <w:rFonts w:asciiTheme="minorEastAsia" w:hAnsiTheme="minorEastAsia" w:eastAsiaTheme="minorEastAsia"/>
          <w:sz w:val="28"/>
          <w:szCs w:val="28"/>
          <w:highlight w:val="none"/>
        </w:rPr>
        <w:t>4139.98</w:t>
      </w:r>
      <w:r>
        <w:rPr>
          <w:rFonts w:hint="eastAsia" w:asciiTheme="minorEastAsia" w:hAnsiTheme="minorEastAsia" w:eastAsiaTheme="minorEastAsia"/>
          <w:sz w:val="28"/>
          <w:szCs w:val="28"/>
          <w:highlight w:val="none"/>
        </w:rPr>
        <w:t>万元（包含年初结转和结余</w:t>
      </w:r>
      <w:r>
        <w:rPr>
          <w:rFonts w:hint="eastAsia" w:asciiTheme="minorEastAsia" w:hAnsiTheme="minorEastAsia" w:eastAsiaTheme="minorEastAsia"/>
          <w:sz w:val="28"/>
          <w:szCs w:val="28"/>
          <w:highlight w:val="none"/>
          <w:lang w:val="en-US" w:eastAsia="zh-CN"/>
        </w:rPr>
        <w:t>199.61</w:t>
      </w:r>
      <w:r>
        <w:rPr>
          <w:rFonts w:hint="eastAsia" w:asciiTheme="minorEastAsia" w:hAnsiTheme="minorEastAsia" w:eastAsiaTheme="minorEastAsia"/>
          <w:sz w:val="28"/>
          <w:szCs w:val="28"/>
          <w:highlight w:val="none"/>
        </w:rPr>
        <w:t>万元），与上年相比减少</w:t>
      </w:r>
      <w:r>
        <w:rPr>
          <w:rFonts w:asciiTheme="minorEastAsia" w:hAnsiTheme="minorEastAsia" w:eastAsiaTheme="minorEastAsia"/>
          <w:sz w:val="28"/>
          <w:szCs w:val="28"/>
          <w:highlight w:val="none"/>
        </w:rPr>
        <w:t>1161.48</w:t>
      </w:r>
      <w:r>
        <w:rPr>
          <w:rFonts w:hint="eastAsia" w:asciiTheme="minorEastAsia" w:hAnsiTheme="minorEastAsia" w:eastAsiaTheme="minorEastAsia"/>
          <w:sz w:val="28"/>
          <w:szCs w:val="28"/>
          <w:highlight w:val="none"/>
        </w:rPr>
        <w:t>万元,减少</w:t>
      </w:r>
      <w:r>
        <w:rPr>
          <w:rFonts w:asciiTheme="minorEastAsia" w:hAnsiTheme="minorEastAsia" w:eastAsiaTheme="minorEastAsia"/>
          <w:sz w:val="28"/>
          <w:szCs w:val="28"/>
          <w:highlight w:val="none"/>
        </w:rPr>
        <w:t>21.91</w:t>
      </w:r>
      <w:r>
        <w:rPr>
          <w:rFonts w:hint="eastAsia" w:asciiTheme="minorEastAsia" w:hAnsiTheme="minorEastAsia" w:eastAsiaTheme="minorEastAsia"/>
          <w:sz w:val="28"/>
          <w:szCs w:val="28"/>
          <w:highlight w:val="none"/>
        </w:rPr>
        <w:t>%，主要是因为财政项目拨款减少，财政拨款支出总计</w:t>
      </w:r>
      <w:r>
        <w:rPr>
          <w:rFonts w:asciiTheme="minorEastAsia" w:hAnsiTheme="minorEastAsia" w:eastAsiaTheme="minorEastAsia"/>
          <w:sz w:val="28"/>
          <w:szCs w:val="28"/>
          <w:highlight w:val="none"/>
        </w:rPr>
        <w:t>4139.98</w:t>
      </w:r>
      <w:r>
        <w:rPr>
          <w:rFonts w:hint="eastAsia" w:asciiTheme="minorEastAsia" w:hAnsiTheme="minorEastAsia" w:eastAsiaTheme="minorEastAsia"/>
          <w:sz w:val="28"/>
          <w:szCs w:val="28"/>
          <w:highlight w:val="none"/>
        </w:rPr>
        <w:t>万元</w:t>
      </w:r>
      <w:r>
        <w:rPr>
          <w:rFonts w:hint="eastAsia" w:asciiTheme="minorEastAsia" w:hAnsiTheme="minorEastAsia" w:eastAsiaTheme="minorEastAsia"/>
          <w:color w:val="auto"/>
          <w:sz w:val="28"/>
          <w:szCs w:val="28"/>
          <w:highlight w:val="none"/>
        </w:rPr>
        <w:t>（包含年末财政拨款结转和结余金额2</w:t>
      </w:r>
      <w:r>
        <w:rPr>
          <w:rFonts w:asciiTheme="minorEastAsia" w:hAnsiTheme="minorEastAsia" w:eastAsiaTheme="minorEastAsia"/>
          <w:color w:val="auto"/>
          <w:sz w:val="28"/>
          <w:szCs w:val="28"/>
          <w:highlight w:val="none"/>
        </w:rPr>
        <w:t>19.51</w:t>
      </w:r>
      <w:r>
        <w:rPr>
          <w:rFonts w:hint="eastAsia" w:asciiTheme="minorEastAsia" w:hAnsiTheme="minorEastAsia" w:eastAsiaTheme="minorEastAsia"/>
          <w:color w:val="auto"/>
          <w:sz w:val="28"/>
          <w:szCs w:val="28"/>
          <w:highlight w:val="none"/>
        </w:rPr>
        <w:t>万元）</w:t>
      </w:r>
      <w:r>
        <w:rPr>
          <w:rFonts w:hint="eastAsia" w:asciiTheme="minorEastAsia" w:hAnsiTheme="minorEastAsia" w:eastAsiaTheme="minorEastAsia"/>
          <w:sz w:val="28"/>
          <w:szCs w:val="28"/>
          <w:highlight w:val="none"/>
        </w:rPr>
        <w:t>，与上年相比，减少</w:t>
      </w:r>
      <w:r>
        <w:rPr>
          <w:rFonts w:asciiTheme="minorEastAsia" w:hAnsiTheme="minorEastAsia" w:eastAsiaTheme="minorEastAsia"/>
          <w:sz w:val="28"/>
          <w:szCs w:val="28"/>
          <w:highlight w:val="none"/>
        </w:rPr>
        <w:t>1161.48</w:t>
      </w:r>
      <w:r>
        <w:rPr>
          <w:rFonts w:hint="eastAsia" w:asciiTheme="minorEastAsia" w:hAnsiTheme="minorEastAsia" w:eastAsiaTheme="minorEastAsia"/>
          <w:sz w:val="28"/>
          <w:szCs w:val="28"/>
          <w:highlight w:val="none"/>
        </w:rPr>
        <w:t>万元,减少</w:t>
      </w:r>
      <w:r>
        <w:rPr>
          <w:rFonts w:asciiTheme="minorEastAsia" w:hAnsiTheme="minorEastAsia" w:eastAsiaTheme="minorEastAsia"/>
          <w:sz w:val="28"/>
          <w:szCs w:val="28"/>
          <w:highlight w:val="none"/>
        </w:rPr>
        <w:t>21.91</w:t>
      </w:r>
      <w:r>
        <w:rPr>
          <w:rFonts w:hint="eastAsia" w:asciiTheme="minorEastAsia" w:hAnsiTheme="minorEastAsia" w:eastAsiaTheme="minorEastAsia"/>
          <w:sz w:val="28"/>
          <w:szCs w:val="28"/>
          <w:highlight w:val="none"/>
        </w:rPr>
        <w:t>%，</w:t>
      </w:r>
      <w:r>
        <w:rPr>
          <w:rFonts w:hint="eastAsia" w:asciiTheme="minorEastAsia" w:hAnsiTheme="minorEastAsia" w:eastAsiaTheme="minorEastAsia"/>
          <w:sz w:val="28"/>
          <w:szCs w:val="28"/>
        </w:rPr>
        <w:t>主要是财政公共预算拨款及财政项目减少。</w:t>
      </w:r>
    </w:p>
    <w:p w14:paraId="6C26F83A">
      <w:pPr>
        <w:pStyle w:val="11"/>
        <w:ind w:firstLine="640"/>
        <w:rPr>
          <w:rFonts w:hAnsi="黑体"/>
          <w:b/>
          <w:sz w:val="32"/>
          <w:szCs w:val="32"/>
        </w:rPr>
      </w:pPr>
      <w:r>
        <w:rPr>
          <w:rFonts w:hint="eastAsia" w:hAnsi="黑体"/>
          <w:b/>
          <w:sz w:val="32"/>
          <w:szCs w:val="32"/>
        </w:rPr>
        <w:t>五、一般公共预算财政拨款支出决算情况说明</w:t>
      </w:r>
    </w:p>
    <w:p w14:paraId="4383A456">
      <w:pPr>
        <w:pStyle w:val="11"/>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14:paraId="4E8E0C1F">
      <w:pPr>
        <w:pStyle w:val="11"/>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2021年度财政拨款支出3920.47万元，占本年支出合计的46.5</w:t>
      </w:r>
      <w:r>
        <w:rPr>
          <w:rFonts w:asciiTheme="minorEastAsia" w:hAnsiTheme="minorEastAsia" w:eastAsiaTheme="minorEastAsia"/>
          <w:sz w:val="28"/>
          <w:szCs w:val="28"/>
        </w:rPr>
        <w:t>0</w:t>
      </w:r>
      <w:r>
        <w:rPr>
          <w:rFonts w:hint="eastAsia" w:asciiTheme="minorEastAsia" w:hAnsiTheme="minorEastAsia" w:eastAsiaTheme="minorEastAsia"/>
          <w:sz w:val="28"/>
          <w:szCs w:val="28"/>
        </w:rPr>
        <w:t>%，与上年相比，减少1181.38万元,减少23.15%，主要是财政公共预算拨款及财政项目减少。</w:t>
      </w:r>
    </w:p>
    <w:p w14:paraId="0E7604A9">
      <w:pPr>
        <w:pStyle w:val="11"/>
        <w:ind w:firstLine="482"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14:paraId="05A6B6A5">
      <w:pPr>
        <w:pStyle w:val="11"/>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2021年度财政拨款</w:t>
      </w:r>
      <w:r>
        <w:rPr>
          <w:rFonts w:hint="eastAsia" w:asciiTheme="minorEastAsia" w:hAnsiTheme="minorEastAsia" w:eastAsiaTheme="minorEastAsia"/>
          <w:sz w:val="28"/>
          <w:szCs w:val="28"/>
          <w:lang w:eastAsia="zh-CN"/>
        </w:rPr>
        <w:t>支出</w:t>
      </w:r>
      <w:r>
        <w:rPr>
          <w:rFonts w:hint="eastAsia" w:asciiTheme="minorEastAsia" w:hAnsiTheme="minorEastAsia" w:eastAsiaTheme="minorEastAsia"/>
          <w:sz w:val="28"/>
          <w:szCs w:val="28"/>
        </w:rPr>
        <w:t>3920.47万元，主要用于以下方面：社会保障和就业</w:t>
      </w:r>
      <w:r>
        <w:rPr>
          <w:rFonts w:hint="eastAsia" w:asciiTheme="minorEastAsia" w:hAnsiTheme="minorEastAsia" w:eastAsiaTheme="minorEastAsia"/>
          <w:sz w:val="28"/>
          <w:szCs w:val="28"/>
          <w:highlight w:val="none"/>
        </w:rPr>
        <w:t>（类）支出562.35万元，占14.3</w:t>
      </w:r>
      <w:r>
        <w:rPr>
          <w:rFonts w:asciiTheme="minorEastAsia" w:hAnsiTheme="minorEastAsia" w:eastAsiaTheme="minorEastAsia"/>
          <w:sz w:val="28"/>
          <w:szCs w:val="28"/>
          <w:highlight w:val="none"/>
        </w:rPr>
        <w:t>4</w:t>
      </w:r>
      <w:r>
        <w:rPr>
          <w:rFonts w:hint="eastAsia" w:asciiTheme="minorEastAsia" w:hAnsiTheme="minorEastAsia" w:eastAsiaTheme="minorEastAsia"/>
          <w:sz w:val="28"/>
          <w:szCs w:val="28"/>
          <w:highlight w:val="none"/>
        </w:rPr>
        <w:t>%；卫生健康（类）支出166.89万元，占4</w:t>
      </w:r>
      <w:r>
        <w:rPr>
          <w:rFonts w:asciiTheme="minorEastAsia" w:hAnsiTheme="minorEastAsia" w:eastAsiaTheme="minorEastAsia"/>
          <w:sz w:val="28"/>
          <w:szCs w:val="28"/>
          <w:highlight w:val="none"/>
        </w:rPr>
        <w:t>.26</w:t>
      </w:r>
      <w:r>
        <w:rPr>
          <w:rFonts w:hint="eastAsia" w:asciiTheme="minorEastAsia" w:hAnsiTheme="minorEastAsia" w:eastAsiaTheme="minorEastAsia"/>
          <w:sz w:val="28"/>
          <w:szCs w:val="28"/>
          <w:highlight w:val="none"/>
        </w:rPr>
        <w:t>%；资源勘探工业信息等（类）支出38.34万元，占</w:t>
      </w:r>
      <w:r>
        <w:rPr>
          <w:rFonts w:asciiTheme="minorEastAsia" w:hAnsiTheme="minorEastAsia" w:eastAsiaTheme="minorEastAsia"/>
          <w:sz w:val="28"/>
          <w:szCs w:val="28"/>
          <w:highlight w:val="none"/>
        </w:rPr>
        <w:t>0.98</w:t>
      </w:r>
      <w:r>
        <w:rPr>
          <w:rFonts w:hint="eastAsia" w:asciiTheme="minorEastAsia" w:hAnsiTheme="minorEastAsia" w:eastAsiaTheme="minorEastAsia"/>
          <w:sz w:val="28"/>
          <w:szCs w:val="28"/>
          <w:highlight w:val="none"/>
        </w:rPr>
        <w:t>%；自然资源海洋气象等（类）支出2526.9万元，占</w:t>
      </w:r>
      <w:r>
        <w:rPr>
          <w:rFonts w:asciiTheme="minorEastAsia" w:hAnsiTheme="minorEastAsia" w:eastAsiaTheme="minorEastAsia"/>
          <w:sz w:val="28"/>
          <w:szCs w:val="28"/>
          <w:highlight w:val="none"/>
        </w:rPr>
        <w:t>64.45</w:t>
      </w:r>
      <w:r>
        <w:rPr>
          <w:rFonts w:hint="eastAsia" w:asciiTheme="minorEastAsia" w:hAnsiTheme="minorEastAsia" w:eastAsiaTheme="minorEastAsia"/>
          <w:sz w:val="28"/>
          <w:szCs w:val="28"/>
          <w:highlight w:val="none"/>
        </w:rPr>
        <w:t>%；住房保障（类）支出316.79万元，占</w:t>
      </w:r>
      <w:r>
        <w:rPr>
          <w:rFonts w:asciiTheme="minorEastAsia" w:hAnsiTheme="minorEastAsia" w:eastAsiaTheme="minorEastAsia"/>
          <w:sz w:val="28"/>
          <w:szCs w:val="28"/>
          <w:highlight w:val="none"/>
        </w:rPr>
        <w:t>8.08</w:t>
      </w:r>
      <w:r>
        <w:rPr>
          <w:rFonts w:hint="eastAsia" w:asciiTheme="minorEastAsia" w:hAnsiTheme="minorEastAsia" w:eastAsiaTheme="minorEastAsia"/>
          <w:sz w:val="28"/>
          <w:szCs w:val="28"/>
          <w:highlight w:val="none"/>
        </w:rPr>
        <w:t>%；</w:t>
      </w:r>
      <w:r>
        <w:rPr>
          <w:rFonts w:hint="eastAsia" w:asciiTheme="minorEastAsia" w:hAnsiTheme="minorEastAsia" w:eastAsiaTheme="minorEastAsia"/>
          <w:sz w:val="28"/>
          <w:szCs w:val="28"/>
        </w:rPr>
        <w:t>灾害防治及应急管理（类）支出309.2万元，占</w:t>
      </w:r>
      <w:r>
        <w:rPr>
          <w:rFonts w:asciiTheme="minorEastAsia" w:hAnsiTheme="minorEastAsia" w:eastAsiaTheme="minorEastAsia"/>
          <w:sz w:val="28"/>
          <w:szCs w:val="28"/>
        </w:rPr>
        <w:t>7.89</w:t>
      </w:r>
      <w:r>
        <w:rPr>
          <w:rFonts w:hint="eastAsia" w:asciiTheme="minorEastAsia" w:hAnsiTheme="minorEastAsia" w:eastAsiaTheme="minorEastAsia"/>
          <w:sz w:val="28"/>
          <w:szCs w:val="28"/>
        </w:rPr>
        <w:t>%。</w:t>
      </w:r>
    </w:p>
    <w:p w14:paraId="4343F7A3">
      <w:pPr>
        <w:pStyle w:val="11"/>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14:paraId="6A1A4956">
      <w:pPr>
        <w:pStyle w:val="11"/>
        <w:ind w:firstLine="560" w:firstLineChars="200"/>
        <w:rPr>
          <w:rFonts w:asciiTheme="minorEastAsia" w:hAnsiTheme="minorEastAsia" w:eastAsiaTheme="minorEastAsia"/>
          <w:color w:val="FF0000"/>
          <w:sz w:val="28"/>
          <w:szCs w:val="28"/>
        </w:rPr>
      </w:pPr>
      <w:r>
        <w:rPr>
          <w:rFonts w:hint="eastAsia" w:asciiTheme="minorEastAsia" w:hAnsiTheme="minorEastAsia" w:eastAsiaTheme="minorEastAsia"/>
          <w:sz w:val="28"/>
          <w:szCs w:val="28"/>
        </w:rPr>
        <w:t>2021年度财政拨款支出年初预算数为3145.25万元，支出决算数为3920.47万元，完成年初预算的124.65%，其中：</w:t>
      </w:r>
    </w:p>
    <w:p w14:paraId="5DF98479">
      <w:pPr>
        <w:pStyle w:val="11"/>
        <w:ind w:firstLine="562" w:firstLineChars="200"/>
        <w:rPr>
          <w:rFonts w:asciiTheme="minorEastAsia" w:hAnsiTheme="minorEastAsia" w:eastAsiaTheme="minorEastAsia"/>
          <w:sz w:val="28"/>
          <w:szCs w:val="28"/>
        </w:rPr>
      </w:pPr>
      <w:r>
        <w:rPr>
          <w:rFonts w:hint="eastAsia" w:asciiTheme="minorEastAsia" w:hAnsiTheme="minorEastAsia" w:eastAsiaTheme="minorEastAsia"/>
          <w:b/>
          <w:bCs/>
          <w:sz w:val="28"/>
          <w:szCs w:val="28"/>
          <w:lang w:val="en-US" w:eastAsia="zh-CN"/>
        </w:rPr>
        <w:t>1、</w:t>
      </w:r>
      <w:r>
        <w:rPr>
          <w:rFonts w:hint="eastAsia" w:asciiTheme="minorEastAsia" w:hAnsiTheme="minorEastAsia" w:eastAsiaTheme="minorEastAsia"/>
          <w:b/>
          <w:bCs/>
          <w:sz w:val="28"/>
          <w:szCs w:val="28"/>
        </w:rPr>
        <w:t>社会保障和就业（类）行政事业单位养老（款）事业单位离退</w:t>
      </w:r>
    </w:p>
    <w:p w14:paraId="7BC79DE4">
      <w:pPr>
        <w:pStyle w:val="11"/>
        <w:rPr>
          <w:rFonts w:asciiTheme="minorEastAsia" w:hAnsiTheme="minorEastAsia" w:eastAsiaTheme="minorEastAsia"/>
          <w:sz w:val="28"/>
          <w:szCs w:val="28"/>
        </w:rPr>
      </w:pPr>
      <w:r>
        <w:rPr>
          <w:rFonts w:hint="eastAsia" w:asciiTheme="minorEastAsia" w:hAnsiTheme="minorEastAsia" w:eastAsiaTheme="minorEastAsia"/>
          <w:b/>
          <w:bCs/>
          <w:sz w:val="28"/>
          <w:szCs w:val="28"/>
        </w:rPr>
        <w:t>休（项）。</w:t>
      </w:r>
      <w:r>
        <w:rPr>
          <w:rFonts w:hint="eastAsia" w:asciiTheme="minorEastAsia" w:hAnsiTheme="minorEastAsia" w:eastAsiaTheme="minorEastAsia"/>
          <w:sz w:val="28"/>
          <w:szCs w:val="28"/>
        </w:rPr>
        <w:t>年初预算为138.5万元，支出决算为138.5万元，完成</w:t>
      </w:r>
    </w:p>
    <w:p w14:paraId="397DF312">
      <w:pPr>
        <w:pStyle w:val="11"/>
        <w:rPr>
          <w:rFonts w:asciiTheme="minorEastAsia" w:hAnsiTheme="minorEastAsia" w:eastAsiaTheme="minorEastAsia"/>
          <w:sz w:val="28"/>
          <w:szCs w:val="28"/>
        </w:rPr>
      </w:pPr>
      <w:r>
        <w:rPr>
          <w:rFonts w:hint="eastAsia" w:asciiTheme="minorEastAsia" w:hAnsiTheme="minorEastAsia" w:eastAsiaTheme="minorEastAsia"/>
          <w:sz w:val="28"/>
          <w:szCs w:val="28"/>
        </w:rPr>
        <w:t>年初预算的</w:t>
      </w:r>
      <w:r>
        <w:rPr>
          <w:rFonts w:asciiTheme="minorEastAsia" w:hAnsiTheme="minorEastAsia" w:eastAsiaTheme="minorEastAsia"/>
          <w:sz w:val="28"/>
          <w:szCs w:val="28"/>
        </w:rPr>
        <w:t>100</w:t>
      </w:r>
      <w:r>
        <w:rPr>
          <w:rFonts w:hint="eastAsia" w:asciiTheme="minorEastAsia" w:hAnsiTheme="minorEastAsia" w:eastAsiaTheme="minorEastAsia"/>
          <w:sz w:val="28"/>
          <w:szCs w:val="28"/>
        </w:rPr>
        <w:t>%，决算数与年初预算数相同。</w:t>
      </w:r>
    </w:p>
    <w:p w14:paraId="08504DF9">
      <w:pPr>
        <w:pStyle w:val="11"/>
        <w:numPr>
          <w:ilvl w:val="0"/>
          <w:numId w:val="0"/>
        </w:numPr>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lang w:val="en-US" w:eastAsia="zh-CN"/>
        </w:rPr>
        <w:t>2、</w:t>
      </w:r>
      <w:r>
        <w:rPr>
          <w:rFonts w:hint="eastAsia" w:asciiTheme="minorEastAsia" w:hAnsiTheme="minorEastAsia" w:eastAsiaTheme="minorEastAsia"/>
          <w:b/>
          <w:bCs/>
          <w:sz w:val="28"/>
          <w:szCs w:val="28"/>
        </w:rPr>
        <w:t>社会保障和就业（类）行政事业单位养老（款）机关事业单位</w:t>
      </w:r>
    </w:p>
    <w:p w14:paraId="0E05C13C">
      <w:pPr>
        <w:pStyle w:val="11"/>
        <w:rPr>
          <w:rFonts w:asciiTheme="minorEastAsia" w:hAnsiTheme="minorEastAsia" w:eastAsiaTheme="minorEastAsia"/>
          <w:sz w:val="28"/>
          <w:szCs w:val="28"/>
        </w:rPr>
      </w:pPr>
      <w:r>
        <w:rPr>
          <w:rFonts w:hint="eastAsia" w:asciiTheme="minorEastAsia" w:hAnsiTheme="minorEastAsia" w:eastAsiaTheme="minorEastAsia"/>
          <w:b/>
          <w:bCs/>
          <w:sz w:val="28"/>
          <w:szCs w:val="28"/>
        </w:rPr>
        <w:t>基本养老保险缴费（项）。</w:t>
      </w:r>
      <w:r>
        <w:rPr>
          <w:rFonts w:hint="eastAsia" w:asciiTheme="minorEastAsia" w:hAnsiTheme="minorEastAsia" w:eastAsiaTheme="minorEastAsia"/>
          <w:sz w:val="28"/>
          <w:szCs w:val="28"/>
        </w:rPr>
        <w:t>年初预算为423.85万元，支出决算为423.85万元，完成年初预算的</w:t>
      </w:r>
      <w:r>
        <w:rPr>
          <w:rFonts w:asciiTheme="minorEastAsia" w:hAnsiTheme="minorEastAsia" w:eastAsiaTheme="minorEastAsia"/>
          <w:sz w:val="28"/>
          <w:szCs w:val="28"/>
        </w:rPr>
        <w:t>100</w:t>
      </w:r>
      <w:r>
        <w:rPr>
          <w:rFonts w:hint="eastAsia" w:asciiTheme="minorEastAsia" w:hAnsiTheme="minorEastAsia" w:eastAsiaTheme="minorEastAsia"/>
          <w:sz w:val="28"/>
          <w:szCs w:val="28"/>
        </w:rPr>
        <w:t>%，决算数与年初预算数相同。</w:t>
      </w:r>
    </w:p>
    <w:p w14:paraId="64D3AF46">
      <w:pPr>
        <w:pStyle w:val="11"/>
        <w:ind w:firstLine="703" w:firstLineChars="250"/>
        <w:rPr>
          <w:rFonts w:asciiTheme="minorEastAsia" w:hAnsiTheme="minorEastAsia" w:eastAsiaTheme="minorEastAsia"/>
          <w:sz w:val="28"/>
          <w:szCs w:val="28"/>
        </w:rPr>
      </w:pPr>
      <w:r>
        <w:rPr>
          <w:rFonts w:hint="eastAsia" w:asciiTheme="minorEastAsia" w:hAnsiTheme="minorEastAsia" w:eastAsiaTheme="minorEastAsia"/>
          <w:b/>
          <w:bCs/>
          <w:sz w:val="28"/>
          <w:szCs w:val="28"/>
        </w:rPr>
        <w:t>3、卫生健康（类）行政事业医疗（款）事业单位医疗（项）。</w:t>
      </w:r>
      <w:r>
        <w:rPr>
          <w:rFonts w:hint="eastAsia" w:asciiTheme="minorEastAsia" w:hAnsiTheme="minorEastAsia" w:eastAsiaTheme="minorEastAsia"/>
          <w:sz w:val="28"/>
          <w:szCs w:val="28"/>
        </w:rPr>
        <w:t>年初预算为166.89万元，支出决算为166.89万元，完成年初预算的</w:t>
      </w:r>
      <w:r>
        <w:rPr>
          <w:rFonts w:asciiTheme="minorEastAsia" w:hAnsiTheme="minorEastAsia" w:eastAsiaTheme="minorEastAsia"/>
          <w:sz w:val="28"/>
          <w:szCs w:val="28"/>
        </w:rPr>
        <w:t>100</w:t>
      </w:r>
      <w:r>
        <w:rPr>
          <w:rFonts w:hint="eastAsia" w:asciiTheme="minorEastAsia" w:hAnsiTheme="minorEastAsia" w:eastAsiaTheme="minorEastAsia"/>
          <w:sz w:val="28"/>
          <w:szCs w:val="28"/>
        </w:rPr>
        <w:t>%，决算数与年初预算数相同。</w:t>
      </w:r>
    </w:p>
    <w:p w14:paraId="528F1F12">
      <w:pPr>
        <w:pStyle w:val="11"/>
        <w:ind w:firstLine="703" w:firstLineChars="250"/>
        <w:rPr>
          <w:rFonts w:asciiTheme="minorEastAsia" w:hAnsiTheme="minorEastAsia" w:eastAsiaTheme="minorEastAsia"/>
          <w:sz w:val="28"/>
          <w:szCs w:val="28"/>
        </w:rPr>
      </w:pPr>
      <w:r>
        <w:rPr>
          <w:rFonts w:hint="eastAsia" w:asciiTheme="minorEastAsia" w:hAnsiTheme="minorEastAsia" w:eastAsiaTheme="minorEastAsia"/>
          <w:b/>
          <w:bCs/>
          <w:sz w:val="28"/>
          <w:szCs w:val="28"/>
        </w:rPr>
        <w:t>4、</w:t>
      </w:r>
      <w:r>
        <w:rPr>
          <w:rFonts w:hint="eastAsia" w:asciiTheme="minorEastAsia" w:hAnsiTheme="minorEastAsia" w:eastAsiaTheme="minorEastAsia"/>
          <w:b/>
          <w:bCs/>
          <w:sz w:val="28"/>
          <w:szCs w:val="28"/>
          <w:highlight w:val="none"/>
        </w:rPr>
        <w:t>资源勘探工业信息等（类）制造业（款）其他制造业务（项）</w:t>
      </w:r>
      <w:r>
        <w:rPr>
          <w:rFonts w:hint="eastAsia" w:asciiTheme="minorEastAsia" w:hAnsiTheme="minorEastAsia" w:eastAsiaTheme="minorEastAsia"/>
          <w:b/>
          <w:bCs/>
          <w:sz w:val="28"/>
          <w:szCs w:val="28"/>
          <w:highlight w:val="none"/>
          <w:lang w:eastAsia="zh-CN"/>
        </w:rPr>
        <w:t>。</w:t>
      </w:r>
      <w:r>
        <w:rPr>
          <w:rFonts w:hint="eastAsia" w:asciiTheme="minorEastAsia" w:hAnsiTheme="minorEastAsia" w:eastAsiaTheme="minorEastAsia"/>
          <w:sz w:val="28"/>
          <w:szCs w:val="28"/>
        </w:rPr>
        <w:t>年初预算为</w:t>
      </w:r>
      <w:r>
        <w:rPr>
          <w:rFonts w:asciiTheme="minorEastAsia" w:hAnsiTheme="minorEastAsia" w:eastAsiaTheme="minorEastAsia"/>
          <w:sz w:val="28"/>
          <w:szCs w:val="28"/>
        </w:rPr>
        <w:t>0</w:t>
      </w:r>
      <w:r>
        <w:rPr>
          <w:rFonts w:hint="eastAsia" w:asciiTheme="minorEastAsia" w:hAnsiTheme="minorEastAsia" w:eastAsiaTheme="minorEastAsia"/>
          <w:sz w:val="28"/>
          <w:szCs w:val="28"/>
        </w:rPr>
        <w:t>元，支出决算为38.34万元，由于预算数为0，无法计算百分比。</w:t>
      </w:r>
      <w:r>
        <w:rPr>
          <w:rFonts w:hint="eastAsia" w:asciiTheme="minorEastAsia" w:hAnsiTheme="minorEastAsia" w:eastAsiaTheme="minorEastAsia"/>
          <w:sz w:val="28"/>
          <w:szCs w:val="28"/>
        </w:rPr>
        <w:t>决算数大于年初预算数主要原因是：该笔支出主要是年中追加的职业病遗属补助专项2.14万元、老工伤“一次性伤残补助金”32万元、“资产清算”专项4.2万元。</w:t>
      </w:r>
    </w:p>
    <w:p w14:paraId="29394D8A">
      <w:pPr>
        <w:pStyle w:val="11"/>
        <w:ind w:firstLine="703" w:firstLineChars="250"/>
        <w:rPr>
          <w:rFonts w:asciiTheme="minorEastAsia" w:hAnsiTheme="minorEastAsia" w:eastAsiaTheme="minorEastAsia"/>
          <w:sz w:val="28"/>
          <w:szCs w:val="28"/>
        </w:rPr>
      </w:pPr>
      <w:r>
        <w:rPr>
          <w:rFonts w:hint="eastAsia" w:asciiTheme="minorEastAsia" w:hAnsiTheme="minorEastAsia" w:eastAsiaTheme="minorEastAsia"/>
          <w:b/>
          <w:bCs/>
          <w:sz w:val="28"/>
          <w:szCs w:val="28"/>
        </w:rPr>
        <w:t>5、自然资源海洋气象等（类）自然资源事务（款） 自然资源调查与确权登记（项）。</w:t>
      </w:r>
      <w:r>
        <w:rPr>
          <w:rFonts w:hint="eastAsia" w:asciiTheme="minorEastAsia" w:hAnsiTheme="minorEastAsia" w:eastAsiaTheme="minorEastAsia"/>
          <w:sz w:val="28"/>
          <w:szCs w:val="28"/>
        </w:rPr>
        <w:t>年初预算为</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万元，支出决算数为330万元，</w:t>
      </w:r>
      <w:r>
        <w:rPr>
          <w:rFonts w:asciiTheme="minorEastAsia" w:hAnsiTheme="minorEastAsia" w:eastAsiaTheme="minorEastAsia"/>
          <w:sz w:val="28"/>
          <w:szCs w:val="28"/>
        </w:rPr>
        <w:t>由于预算数为0，无法计算百分比。</w:t>
      </w:r>
      <w:r>
        <w:rPr>
          <w:rFonts w:hint="eastAsia" w:asciiTheme="minorEastAsia" w:hAnsiTheme="minorEastAsia" w:eastAsiaTheme="minorEastAsia"/>
          <w:sz w:val="28"/>
          <w:szCs w:val="28"/>
        </w:rPr>
        <w:t>决算数大于年初预算数的主要原因是：2021年卫星监测等项目330万元，为年中财政追加指标。</w:t>
      </w:r>
    </w:p>
    <w:p w14:paraId="0C84F803">
      <w:pPr>
        <w:pStyle w:val="11"/>
        <w:ind w:firstLine="703" w:firstLineChars="250"/>
        <w:rPr>
          <w:rFonts w:asciiTheme="minorEastAsia" w:hAnsiTheme="minorEastAsia" w:eastAsiaTheme="minorEastAsia"/>
          <w:sz w:val="28"/>
          <w:szCs w:val="28"/>
        </w:rPr>
      </w:pPr>
      <w:r>
        <w:rPr>
          <w:rFonts w:hint="eastAsia" w:asciiTheme="minorEastAsia" w:hAnsiTheme="minorEastAsia" w:eastAsiaTheme="minorEastAsia"/>
          <w:b/>
          <w:bCs/>
          <w:sz w:val="28"/>
          <w:szCs w:val="28"/>
        </w:rPr>
        <w:t>6、自然资源海洋气象等（类）自然资源事务（款）地质矿产资源与环境调查（项）。</w:t>
      </w:r>
      <w:r>
        <w:rPr>
          <w:rFonts w:hint="eastAsia" w:asciiTheme="minorEastAsia" w:hAnsiTheme="minorEastAsia" w:eastAsiaTheme="minorEastAsia"/>
          <w:sz w:val="28"/>
          <w:szCs w:val="28"/>
        </w:rPr>
        <w:t>年初预算为</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万元，支出决算数为97.68万元，</w:t>
      </w:r>
      <w:r>
        <w:rPr>
          <w:rFonts w:asciiTheme="minorEastAsia" w:hAnsiTheme="minorEastAsia" w:eastAsiaTheme="minorEastAsia"/>
          <w:sz w:val="28"/>
          <w:szCs w:val="28"/>
        </w:rPr>
        <w:t>由于预算数为0，无法计算百分比。</w:t>
      </w:r>
      <w:r>
        <w:rPr>
          <w:rFonts w:hint="eastAsia" w:asciiTheme="minorEastAsia" w:hAnsiTheme="minorEastAsia" w:eastAsiaTheme="minorEastAsia"/>
          <w:sz w:val="28"/>
          <w:szCs w:val="28"/>
        </w:rPr>
        <w:t>决算数大于年初预算数的主要原因是：2021年矿产资源国情调查等项目资金支</w:t>
      </w:r>
      <w:r>
        <w:rPr>
          <w:rFonts w:hint="eastAsia" w:asciiTheme="minorEastAsia" w:hAnsiTheme="minorEastAsia" w:eastAsiaTheme="minorEastAsia"/>
          <w:sz w:val="28"/>
          <w:szCs w:val="28"/>
        </w:rPr>
        <w:t>出为年中财政追加指标。</w:t>
      </w:r>
    </w:p>
    <w:p w14:paraId="485D1E90">
      <w:pPr>
        <w:pStyle w:val="11"/>
        <w:ind w:firstLine="703" w:firstLineChars="250"/>
        <w:rPr>
          <w:rFonts w:asciiTheme="minorEastAsia" w:hAnsiTheme="minorEastAsia" w:eastAsiaTheme="minorEastAsia"/>
          <w:sz w:val="28"/>
          <w:szCs w:val="28"/>
        </w:rPr>
      </w:pPr>
      <w:r>
        <w:rPr>
          <w:rFonts w:asciiTheme="minorEastAsia" w:hAnsiTheme="minorEastAsia" w:eastAsiaTheme="minorEastAsia"/>
          <w:b/>
          <w:bCs/>
          <w:sz w:val="28"/>
          <w:szCs w:val="28"/>
        </w:rPr>
        <w:t>7</w:t>
      </w:r>
      <w:r>
        <w:rPr>
          <w:rFonts w:hint="eastAsia" w:asciiTheme="minorEastAsia" w:hAnsiTheme="minorEastAsia" w:eastAsiaTheme="minorEastAsia"/>
          <w:b/>
          <w:bCs/>
          <w:sz w:val="28"/>
          <w:szCs w:val="28"/>
        </w:rPr>
        <w:t>、自然资源海洋气象等支出（类）自然资源海洋气象（款）事业运行（项）。</w:t>
      </w:r>
      <w:r>
        <w:rPr>
          <w:rFonts w:hint="eastAsia" w:asciiTheme="minorEastAsia" w:hAnsiTheme="minorEastAsia" w:eastAsiaTheme="minorEastAsia"/>
          <w:sz w:val="28"/>
          <w:szCs w:val="28"/>
        </w:rPr>
        <w:t>年初预算为2099.22万元，支出决算为2099.22万元，完成年初预算的</w:t>
      </w:r>
      <w:r>
        <w:rPr>
          <w:rFonts w:asciiTheme="minorEastAsia" w:hAnsiTheme="minorEastAsia" w:eastAsiaTheme="minorEastAsia"/>
          <w:sz w:val="28"/>
          <w:szCs w:val="28"/>
        </w:rPr>
        <w:t>100</w:t>
      </w:r>
      <w:r>
        <w:rPr>
          <w:rFonts w:hint="eastAsia" w:asciiTheme="minorEastAsia" w:hAnsiTheme="minorEastAsia" w:eastAsiaTheme="minorEastAsia"/>
          <w:sz w:val="28"/>
          <w:szCs w:val="28"/>
        </w:rPr>
        <w:t>%，决算数与年初预算数相同。</w:t>
      </w:r>
    </w:p>
    <w:p w14:paraId="2847CED9">
      <w:pPr>
        <w:pStyle w:val="11"/>
        <w:ind w:firstLine="703" w:firstLineChars="250"/>
        <w:rPr>
          <w:rFonts w:asciiTheme="minorEastAsia" w:hAnsiTheme="minorEastAsia" w:eastAsiaTheme="minorEastAsia"/>
          <w:sz w:val="28"/>
          <w:szCs w:val="28"/>
        </w:rPr>
      </w:pPr>
      <w:r>
        <w:rPr>
          <w:rFonts w:asciiTheme="minorEastAsia" w:hAnsiTheme="minorEastAsia" w:eastAsiaTheme="minorEastAsia"/>
          <w:b/>
          <w:bCs/>
          <w:sz w:val="28"/>
          <w:szCs w:val="28"/>
        </w:rPr>
        <w:t>8</w:t>
      </w:r>
      <w:r>
        <w:rPr>
          <w:rFonts w:hint="eastAsia" w:asciiTheme="minorEastAsia" w:hAnsiTheme="minorEastAsia" w:eastAsiaTheme="minorEastAsia"/>
          <w:b/>
          <w:bCs/>
          <w:sz w:val="28"/>
          <w:szCs w:val="28"/>
        </w:rPr>
        <w:t>、住房保障支出（类）住房改革支出（款）住房公积金（项）。</w:t>
      </w:r>
      <w:r>
        <w:rPr>
          <w:rFonts w:hint="eastAsia" w:asciiTheme="minorEastAsia" w:hAnsiTheme="minorEastAsia" w:eastAsiaTheme="minorEastAsia"/>
          <w:sz w:val="28"/>
          <w:szCs w:val="28"/>
        </w:rPr>
        <w:t>年初预算为316.79万元，支出决算数为316.79万元，完成年初预算的</w:t>
      </w:r>
      <w:r>
        <w:rPr>
          <w:rFonts w:asciiTheme="minorEastAsia" w:hAnsiTheme="minorEastAsia" w:eastAsiaTheme="minorEastAsia"/>
          <w:sz w:val="28"/>
          <w:szCs w:val="28"/>
        </w:rPr>
        <w:t>100</w:t>
      </w:r>
      <w:r>
        <w:rPr>
          <w:rFonts w:hint="eastAsia" w:asciiTheme="minorEastAsia" w:hAnsiTheme="minorEastAsia" w:eastAsiaTheme="minorEastAsia"/>
          <w:sz w:val="28"/>
          <w:szCs w:val="28"/>
        </w:rPr>
        <w:t>%，决算数与年初预算数相同。</w:t>
      </w:r>
    </w:p>
    <w:p w14:paraId="2B1A719C">
      <w:pPr>
        <w:pStyle w:val="11"/>
        <w:ind w:firstLine="703" w:firstLineChars="250"/>
        <w:rPr>
          <w:rFonts w:asciiTheme="minorEastAsia" w:hAnsiTheme="minorEastAsia" w:eastAsiaTheme="minorEastAsia"/>
          <w:b/>
          <w:bCs/>
          <w:sz w:val="28"/>
          <w:szCs w:val="28"/>
        </w:rPr>
      </w:pPr>
      <w:r>
        <w:rPr>
          <w:rFonts w:asciiTheme="minorEastAsia" w:hAnsiTheme="minorEastAsia" w:eastAsiaTheme="minorEastAsia"/>
          <w:b/>
          <w:bCs/>
          <w:sz w:val="28"/>
          <w:szCs w:val="28"/>
        </w:rPr>
        <w:t>9</w:t>
      </w:r>
      <w:r>
        <w:rPr>
          <w:rFonts w:hint="eastAsia" w:asciiTheme="minorEastAsia" w:hAnsiTheme="minorEastAsia" w:eastAsiaTheme="minorEastAsia"/>
          <w:b/>
          <w:bCs/>
          <w:sz w:val="28"/>
          <w:szCs w:val="28"/>
        </w:rPr>
        <w:t>、灾害防治及应急管理（类）自然灾害防治（款）地质灾害防治（项）。</w:t>
      </w:r>
      <w:r>
        <w:rPr>
          <w:rFonts w:hint="eastAsia" w:asciiTheme="minorEastAsia" w:hAnsiTheme="minorEastAsia" w:eastAsiaTheme="minorEastAsia"/>
          <w:sz w:val="28"/>
          <w:szCs w:val="28"/>
        </w:rPr>
        <w:t>年初预算为</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万元，支出决算数为309.2万元，</w:t>
      </w:r>
      <w:r>
        <w:rPr>
          <w:rFonts w:asciiTheme="minorEastAsia" w:hAnsiTheme="minorEastAsia" w:eastAsiaTheme="minorEastAsia"/>
          <w:sz w:val="28"/>
          <w:szCs w:val="28"/>
        </w:rPr>
        <w:t>由于预算数为0，无法计算百分比。</w:t>
      </w:r>
      <w:r>
        <w:rPr>
          <w:rFonts w:hint="eastAsia" w:asciiTheme="minorEastAsia" w:hAnsiTheme="minorEastAsia" w:eastAsiaTheme="minorEastAsia"/>
          <w:sz w:val="28"/>
          <w:szCs w:val="28"/>
        </w:rPr>
        <w:t>决算数大于年初预算数主要原因是：常德鼎城1：1万地灾调查和风险评价79.61万元、泸溪县1:1万地质灾害调查和风险评价120万元、桃源县1:1万地质灾害调查和风险评价76.97万元、泸溪县1:1万地质灾害调查和风险评价8.4万元、鼎城区1：1万地质灾害调查和风险评价24.22万元。是年中追加的地质项目形成的支出。</w:t>
      </w:r>
    </w:p>
    <w:p w14:paraId="0F3DC8F5">
      <w:pPr>
        <w:pStyle w:val="11"/>
        <w:ind w:firstLine="643" w:firstLineChars="200"/>
        <w:rPr>
          <w:rFonts w:hAnsi="黑体"/>
          <w:b/>
          <w:sz w:val="32"/>
          <w:szCs w:val="32"/>
        </w:rPr>
      </w:pPr>
      <w:r>
        <w:rPr>
          <w:rFonts w:hint="eastAsia" w:hAnsi="黑体"/>
          <w:b/>
          <w:sz w:val="32"/>
          <w:szCs w:val="32"/>
        </w:rPr>
        <w:t>六、一般公共预算财政拨款基本支出决算情况说明</w:t>
      </w:r>
    </w:p>
    <w:p w14:paraId="5DDD77D5">
      <w:pPr>
        <w:pStyle w:val="11"/>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2021年度财政拨款基本支出3145.25万元，其中：人员经费3094.25万元，占基本支出的98.38%,主要包括基本工资、津贴补贴、奖金、绩效工资、机关事业单位基本养老保险缴费、职工基本医疗保险缴费、其他社会保障缴费、住房公积金、抚恤金、生活补助、奖励金、其他对个人和家庭的补助；公用经费51万元，占基本支出的1.62%，主要包括物业管理费、差旅费、工会经费。</w:t>
      </w:r>
    </w:p>
    <w:p w14:paraId="254359AB">
      <w:pPr>
        <w:pStyle w:val="11"/>
        <w:ind w:firstLine="643" w:firstLineChars="200"/>
        <w:rPr>
          <w:rFonts w:hAnsi="黑体"/>
          <w:b/>
          <w:sz w:val="32"/>
          <w:szCs w:val="32"/>
        </w:rPr>
      </w:pPr>
      <w:r>
        <w:rPr>
          <w:rFonts w:hint="eastAsia" w:hAnsi="黑体"/>
          <w:b/>
          <w:sz w:val="32"/>
          <w:szCs w:val="32"/>
        </w:rPr>
        <w:t>七、一般公共预算财政拨款“三公”经费支出决算情况说明</w:t>
      </w:r>
    </w:p>
    <w:p w14:paraId="3405F0A3">
      <w:pPr>
        <w:pStyle w:val="11"/>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14:paraId="797FFC5B">
      <w:pPr>
        <w:pStyle w:val="11"/>
        <w:ind w:firstLine="700" w:firstLineChars="25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202</w:t>
      </w:r>
      <w:r>
        <w:rPr>
          <w:rFonts w:asciiTheme="minorEastAsia" w:hAnsiTheme="minorEastAsia" w:eastAsiaTheme="minorEastAsia"/>
          <w:sz w:val="28"/>
          <w:szCs w:val="28"/>
        </w:rPr>
        <w:t>1</w:t>
      </w:r>
      <w:r>
        <w:rPr>
          <w:rFonts w:hint="eastAsia" w:asciiTheme="minorEastAsia" w:hAnsiTheme="minorEastAsia" w:eastAsiaTheme="minorEastAsia"/>
          <w:sz w:val="28"/>
          <w:szCs w:val="28"/>
        </w:rPr>
        <w:t>年度“三公”经费财政拨款支出预算为</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万元，支出决算为</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由于预算数为0，无法计算百分比</w:t>
      </w:r>
      <w:r>
        <w:rPr>
          <w:rFonts w:hint="eastAsia" w:asciiTheme="minorEastAsia" w:hAnsiTheme="minorEastAsia" w:eastAsiaTheme="minorEastAsia"/>
          <w:sz w:val="28"/>
          <w:szCs w:val="28"/>
          <w:lang w:val="en-US" w:eastAsia="zh-CN"/>
        </w:rPr>
        <w:t>。其中：</w:t>
      </w:r>
    </w:p>
    <w:p w14:paraId="364FAAEB">
      <w:pPr>
        <w:pStyle w:val="11"/>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因公出国（境）费支出预算为</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万元，支出决算为</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万元，由于预算数为0，无法计算百分比。决算数与预算数一致，与上年决算数一致。</w:t>
      </w:r>
    </w:p>
    <w:p w14:paraId="3F3D8526">
      <w:pPr>
        <w:pStyle w:val="11"/>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公务接待费支出预算为</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万元，支出决算为</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万元，由于预算数为0，无法计算百分比。决算数与预算数一致，与上年决算数一致。</w:t>
      </w:r>
    </w:p>
    <w:p w14:paraId="7C1BE5C8">
      <w:pPr>
        <w:pStyle w:val="11"/>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公务用车购置费支出预算为</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万元，支出决算为</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万元，由于预算数为0，无法计算百分比。决算数与预算数一致，与上年决算数一致。</w:t>
      </w:r>
    </w:p>
    <w:p w14:paraId="39CB2F0E">
      <w:pPr>
        <w:pStyle w:val="11"/>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公务用车运行维护费支出预算为</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万元，支出决算为</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万元，由于预算数为0，无法计算百分比。决算数与预算数一致，与上年决算数一致。</w:t>
      </w:r>
    </w:p>
    <w:p w14:paraId="08AF4666">
      <w:pPr>
        <w:pStyle w:val="11"/>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14:paraId="40F42533">
      <w:pPr>
        <w:pStyle w:val="11"/>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202</w:t>
      </w:r>
      <w:r>
        <w:rPr>
          <w:rFonts w:asciiTheme="minorEastAsia" w:hAnsiTheme="minorEastAsia" w:eastAsiaTheme="minorEastAsia"/>
          <w:sz w:val="28"/>
          <w:szCs w:val="28"/>
        </w:rPr>
        <w:t>1</w:t>
      </w:r>
      <w:r>
        <w:rPr>
          <w:rFonts w:hint="eastAsia" w:asciiTheme="minorEastAsia" w:hAnsiTheme="minorEastAsia" w:eastAsiaTheme="minorEastAsia"/>
          <w:sz w:val="28"/>
          <w:szCs w:val="28"/>
        </w:rPr>
        <w:t>年度“三公”经费财政拨款支出决算中，公务接待费支出决算</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万元，占</w:t>
      </w:r>
      <w:r>
        <w:rPr>
          <w:rFonts w:asciiTheme="minorEastAsia" w:hAnsiTheme="minorEastAsia" w:eastAsiaTheme="minorEastAsia"/>
          <w:sz w:val="28"/>
          <w:szCs w:val="28"/>
        </w:rPr>
        <w:t>0</w:t>
      </w:r>
      <w:r>
        <w:rPr>
          <w:rFonts w:hint="eastAsia" w:asciiTheme="minorEastAsia" w:hAnsiTheme="minorEastAsia" w:eastAsiaTheme="minorEastAsia"/>
          <w:sz w:val="28"/>
          <w:szCs w:val="28"/>
        </w:rPr>
        <w:t>%,因公出国（境）费支出决算</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万元，占</w:t>
      </w:r>
      <w:r>
        <w:rPr>
          <w:rFonts w:asciiTheme="minorEastAsia" w:hAnsiTheme="minorEastAsia" w:eastAsiaTheme="minorEastAsia"/>
          <w:sz w:val="28"/>
          <w:szCs w:val="28"/>
        </w:rPr>
        <w:t>0</w:t>
      </w:r>
      <w:r>
        <w:rPr>
          <w:rFonts w:hint="eastAsia" w:asciiTheme="minorEastAsia" w:hAnsiTheme="minorEastAsia" w:eastAsiaTheme="minorEastAsia"/>
          <w:sz w:val="28"/>
          <w:szCs w:val="28"/>
        </w:rPr>
        <w:t>%,公务用车购置费及运行维护费支出决算</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万元，占</w:t>
      </w:r>
      <w:r>
        <w:rPr>
          <w:rFonts w:asciiTheme="minorEastAsia" w:hAnsiTheme="minorEastAsia" w:eastAsiaTheme="minorEastAsia"/>
          <w:sz w:val="28"/>
          <w:szCs w:val="28"/>
        </w:rPr>
        <w:t>0</w:t>
      </w:r>
      <w:r>
        <w:rPr>
          <w:rFonts w:hint="eastAsia" w:asciiTheme="minorEastAsia" w:hAnsiTheme="minorEastAsia" w:eastAsiaTheme="minorEastAsia"/>
          <w:sz w:val="28"/>
          <w:szCs w:val="28"/>
        </w:rPr>
        <w:t>%。其中：</w:t>
      </w:r>
    </w:p>
    <w:p w14:paraId="327817AC">
      <w:pPr>
        <w:pStyle w:val="11"/>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1、因公出国（境）费支出决算为</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万元，全年安排因公出国（境）团组</w:t>
      </w:r>
      <w:r>
        <w:rPr>
          <w:rFonts w:asciiTheme="minorEastAsia" w:hAnsiTheme="minorEastAsia" w:eastAsiaTheme="minorEastAsia"/>
          <w:sz w:val="28"/>
          <w:szCs w:val="28"/>
        </w:rPr>
        <w:t>0</w:t>
      </w:r>
      <w:r>
        <w:rPr>
          <w:rFonts w:hint="eastAsia" w:asciiTheme="minorEastAsia" w:hAnsiTheme="minorEastAsia" w:eastAsiaTheme="minorEastAsia"/>
          <w:sz w:val="28"/>
          <w:szCs w:val="28"/>
        </w:rPr>
        <w:t>个，累计</w:t>
      </w:r>
      <w:r>
        <w:rPr>
          <w:rFonts w:asciiTheme="minorEastAsia" w:hAnsiTheme="minorEastAsia" w:eastAsiaTheme="minorEastAsia"/>
          <w:sz w:val="28"/>
          <w:szCs w:val="28"/>
        </w:rPr>
        <w:t>0</w:t>
      </w:r>
      <w:r>
        <w:rPr>
          <w:rFonts w:hint="eastAsia" w:asciiTheme="minorEastAsia" w:hAnsiTheme="minorEastAsia" w:eastAsiaTheme="minorEastAsia"/>
          <w:sz w:val="28"/>
          <w:szCs w:val="28"/>
        </w:rPr>
        <w:t>人次,无开支内容。</w:t>
      </w:r>
    </w:p>
    <w:p w14:paraId="6267FE74">
      <w:pPr>
        <w:pStyle w:val="11"/>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2、公务接待费支出决算为</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万元，全年共接待来访团组</w:t>
      </w:r>
      <w:r>
        <w:rPr>
          <w:rFonts w:asciiTheme="minorEastAsia" w:hAnsiTheme="minorEastAsia" w:eastAsiaTheme="minorEastAsia"/>
          <w:sz w:val="28"/>
          <w:szCs w:val="28"/>
        </w:rPr>
        <w:t>0</w:t>
      </w:r>
      <w:r>
        <w:rPr>
          <w:rFonts w:hint="eastAsia" w:asciiTheme="minorEastAsia" w:hAnsiTheme="minorEastAsia" w:eastAsiaTheme="minorEastAsia"/>
          <w:sz w:val="28"/>
          <w:szCs w:val="28"/>
        </w:rPr>
        <w:t>个、来宾</w:t>
      </w:r>
      <w:r>
        <w:rPr>
          <w:rFonts w:asciiTheme="minorEastAsia" w:hAnsiTheme="minorEastAsia" w:eastAsiaTheme="minorEastAsia"/>
          <w:sz w:val="28"/>
          <w:szCs w:val="28"/>
        </w:rPr>
        <w:t>0</w:t>
      </w:r>
      <w:r>
        <w:rPr>
          <w:rFonts w:hint="eastAsia" w:asciiTheme="minorEastAsia" w:hAnsiTheme="minorEastAsia" w:eastAsiaTheme="minorEastAsia"/>
          <w:sz w:val="28"/>
          <w:szCs w:val="28"/>
        </w:rPr>
        <w:t>人次，无开支内容。</w:t>
      </w:r>
    </w:p>
    <w:p w14:paraId="02A7EDC8">
      <w:pPr>
        <w:ind w:firstLine="700" w:firstLineChars="250"/>
        <w:rPr>
          <w:rFonts w:cs="黑体" w:asciiTheme="minorEastAsia" w:hAnsiTheme="minorEastAsia"/>
          <w:color w:val="000000"/>
          <w:kern w:val="0"/>
          <w:sz w:val="28"/>
          <w:szCs w:val="28"/>
        </w:rPr>
      </w:pPr>
      <w:r>
        <w:rPr>
          <w:rFonts w:hint="eastAsia" w:asciiTheme="minorEastAsia" w:hAnsiTheme="minorEastAsia"/>
          <w:sz w:val="28"/>
          <w:szCs w:val="28"/>
        </w:rPr>
        <w:t>3、公务用车购置费及运行维护费支出决算为</w:t>
      </w:r>
      <w:r>
        <w:rPr>
          <w:rFonts w:asciiTheme="minorEastAsia" w:hAnsiTheme="minorEastAsia"/>
          <w:sz w:val="28"/>
          <w:szCs w:val="28"/>
        </w:rPr>
        <w:t>0</w:t>
      </w:r>
      <w:r>
        <w:rPr>
          <w:rFonts w:hint="eastAsia" w:asciiTheme="minorEastAsia" w:hAnsiTheme="minorEastAsia"/>
          <w:sz w:val="28"/>
          <w:szCs w:val="28"/>
        </w:rPr>
        <w:t>万元，其中：公务用车购置费</w:t>
      </w:r>
      <w:r>
        <w:rPr>
          <w:rFonts w:asciiTheme="minorEastAsia" w:hAnsiTheme="minorEastAsia"/>
          <w:sz w:val="28"/>
          <w:szCs w:val="28"/>
        </w:rPr>
        <w:t>0</w:t>
      </w:r>
      <w:r>
        <w:rPr>
          <w:rFonts w:hint="eastAsia" w:asciiTheme="minorEastAsia" w:hAnsiTheme="minorEastAsia"/>
          <w:sz w:val="28"/>
          <w:szCs w:val="28"/>
        </w:rPr>
        <w:t>万元，</w:t>
      </w:r>
      <w:r>
        <w:rPr>
          <w:rFonts w:hint="eastAsia" w:asciiTheme="minorEastAsia" w:hAnsiTheme="minorEastAsia"/>
          <w:sz w:val="28"/>
          <w:szCs w:val="28"/>
          <w:highlight w:val="none"/>
          <w:lang w:eastAsia="zh-CN"/>
        </w:rPr>
        <w:t>本单位更新公务用车</w:t>
      </w:r>
      <w:r>
        <w:rPr>
          <w:rFonts w:hint="eastAsia" w:asciiTheme="minorEastAsia" w:hAnsiTheme="minorEastAsia"/>
          <w:sz w:val="28"/>
          <w:szCs w:val="28"/>
          <w:highlight w:val="none"/>
          <w:lang w:val="en-US" w:eastAsia="zh-CN"/>
        </w:rPr>
        <w:t>0辆</w:t>
      </w:r>
      <w:r>
        <w:rPr>
          <w:rFonts w:hint="eastAsia" w:asciiTheme="minorEastAsia" w:hAnsiTheme="minorEastAsia" w:eastAsiaTheme="minorEastAsia"/>
          <w:sz w:val="28"/>
          <w:szCs w:val="28"/>
          <w:highlight w:val="none"/>
        </w:rPr>
        <w:t>，公务</w:t>
      </w:r>
      <w:r>
        <w:rPr>
          <w:rFonts w:hint="eastAsia" w:asciiTheme="minorEastAsia" w:hAnsiTheme="minorEastAsia" w:eastAsiaTheme="minorEastAsia"/>
          <w:sz w:val="28"/>
          <w:szCs w:val="28"/>
        </w:rPr>
        <w:t>用车运行维护费</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w:t>
      </w:r>
      <w:r>
        <w:rPr>
          <w:rFonts w:hint="eastAsia" w:asciiTheme="minorEastAsia" w:hAnsiTheme="minorEastAsia"/>
          <w:sz w:val="28"/>
          <w:szCs w:val="28"/>
          <w:lang w:eastAsia="zh-CN"/>
        </w:rPr>
        <w:t>，</w:t>
      </w:r>
      <w:r>
        <w:rPr>
          <w:rFonts w:hint="eastAsia" w:asciiTheme="minorEastAsia" w:hAnsiTheme="minorEastAsia"/>
          <w:sz w:val="28"/>
          <w:szCs w:val="28"/>
        </w:rPr>
        <w:t>无开支内容。截止2020年12月31日，我单位开支财政拨款的公务用车保有量为</w:t>
      </w:r>
      <w:r>
        <w:rPr>
          <w:rFonts w:asciiTheme="minorEastAsia" w:hAnsiTheme="minorEastAsia"/>
          <w:sz w:val="28"/>
          <w:szCs w:val="28"/>
        </w:rPr>
        <w:t>0</w:t>
      </w:r>
      <w:r>
        <w:rPr>
          <w:rFonts w:hint="eastAsia" w:asciiTheme="minorEastAsia" w:hAnsiTheme="minorEastAsia"/>
          <w:sz w:val="28"/>
          <w:szCs w:val="28"/>
        </w:rPr>
        <w:t>辆。</w:t>
      </w:r>
    </w:p>
    <w:p w14:paraId="6A324415">
      <w:pPr>
        <w:pStyle w:val="11"/>
        <w:rPr>
          <w:rFonts w:hAnsi="黑体"/>
          <w:b/>
          <w:sz w:val="32"/>
          <w:szCs w:val="32"/>
        </w:rPr>
      </w:pPr>
      <w:r>
        <w:rPr>
          <w:rFonts w:hint="eastAsia" w:hAnsi="黑体"/>
          <w:b/>
          <w:sz w:val="32"/>
          <w:szCs w:val="32"/>
        </w:rPr>
        <w:t>八、政府性基金预算收入支出决算情况</w:t>
      </w:r>
    </w:p>
    <w:p w14:paraId="4C073831">
      <w:pPr>
        <w:pStyle w:val="11"/>
        <w:ind w:firstLine="56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28"/>
          <w:szCs w:val="28"/>
        </w:rPr>
        <w:t>2021年度政府性基金预算财政拨款收入</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万元；年初结转和结余</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万元；支出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万元，其中基本支出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万元，项目支出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万元；年末结转和结余</w:t>
      </w:r>
      <w:r>
        <w:rPr>
          <w:rFonts w:hint="eastAsia" w:asciiTheme="minorEastAsia" w:hAnsiTheme="minorEastAsia" w:eastAsiaTheme="minorEastAsia"/>
          <w:sz w:val="28"/>
          <w:szCs w:val="28"/>
          <w:lang w:val="en-US" w:eastAsia="zh-CN"/>
        </w:rPr>
        <w:t>0万元。本单位无政府性基金收支。</w:t>
      </w:r>
    </w:p>
    <w:p w14:paraId="590716F2">
      <w:pPr>
        <w:pStyle w:val="11"/>
        <w:rPr>
          <w:rFonts w:hAnsi="黑体"/>
          <w:b/>
          <w:sz w:val="32"/>
          <w:szCs w:val="32"/>
        </w:rPr>
      </w:pPr>
      <w:r>
        <w:rPr>
          <w:rFonts w:hint="eastAsia" w:hAnsi="黑体"/>
          <w:b/>
          <w:sz w:val="32"/>
          <w:szCs w:val="32"/>
        </w:rPr>
        <w:t>九、机关运行经费支出说明</w:t>
      </w:r>
    </w:p>
    <w:p w14:paraId="3D2916D0">
      <w:pPr>
        <w:pStyle w:val="11"/>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本</w:t>
      </w:r>
      <w:r>
        <w:rPr>
          <w:rFonts w:hint="eastAsia" w:asciiTheme="minorEastAsia" w:hAnsiTheme="minorEastAsia" w:eastAsiaTheme="minorEastAsia"/>
          <w:sz w:val="28"/>
          <w:szCs w:val="28"/>
          <w:lang w:eastAsia="zh-CN"/>
        </w:rPr>
        <w:t>单位</w:t>
      </w:r>
      <w:r>
        <w:rPr>
          <w:rFonts w:hint="eastAsia" w:asciiTheme="minorEastAsia" w:hAnsiTheme="minorEastAsia" w:eastAsiaTheme="minorEastAsia"/>
          <w:sz w:val="28"/>
          <w:szCs w:val="28"/>
        </w:rPr>
        <w:t>2021年度机关运行经费支出</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比年初预算数增加</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万元，增长</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%。主要原因是：本单位非行政单位和参照公务员法管理事业单位，无机关运行经费。</w:t>
      </w:r>
    </w:p>
    <w:p w14:paraId="4D3DAECF">
      <w:pPr>
        <w:pStyle w:val="11"/>
        <w:rPr>
          <w:rFonts w:hAnsi="黑体"/>
          <w:b/>
          <w:sz w:val="32"/>
          <w:szCs w:val="32"/>
        </w:rPr>
      </w:pPr>
      <w:r>
        <w:rPr>
          <w:rFonts w:hint="eastAsia" w:hAnsi="黑体"/>
          <w:b/>
          <w:sz w:val="32"/>
          <w:szCs w:val="32"/>
        </w:rPr>
        <w:t>十、一般性支出情况说明</w:t>
      </w:r>
    </w:p>
    <w:p w14:paraId="0F1C219E">
      <w:pPr>
        <w:pStyle w:val="11"/>
        <w:ind w:firstLine="560" w:firstLineChars="200"/>
        <w:rPr>
          <w:rFonts w:asciiTheme="minorEastAsia" w:hAnsiTheme="minorEastAsia" w:eastAsiaTheme="minorEastAsia" w:cstheme="minorBidi"/>
          <w:color w:val="auto"/>
          <w:kern w:val="2"/>
          <w:sz w:val="28"/>
          <w:szCs w:val="28"/>
        </w:rPr>
      </w:pPr>
      <w:r>
        <w:rPr>
          <w:rFonts w:hint="eastAsia" w:asciiTheme="minorEastAsia" w:hAnsiTheme="minorEastAsia" w:eastAsiaTheme="minorEastAsia" w:cstheme="minorBidi"/>
          <w:color w:val="auto"/>
          <w:kern w:val="2"/>
          <w:sz w:val="28"/>
          <w:szCs w:val="28"/>
        </w:rPr>
        <w:t>2021年本单位开支会议费</w:t>
      </w:r>
      <w:r>
        <w:rPr>
          <w:rFonts w:asciiTheme="minorEastAsia" w:hAnsiTheme="minorEastAsia" w:eastAsiaTheme="minorEastAsia" w:cstheme="minorBidi"/>
          <w:color w:val="auto"/>
          <w:kern w:val="2"/>
          <w:sz w:val="28"/>
          <w:szCs w:val="28"/>
        </w:rPr>
        <w:t>0</w:t>
      </w:r>
      <w:r>
        <w:rPr>
          <w:rFonts w:hint="eastAsia" w:asciiTheme="minorEastAsia" w:hAnsiTheme="minorEastAsia" w:eastAsiaTheme="minorEastAsia" w:cstheme="minorBidi"/>
          <w:color w:val="auto"/>
          <w:kern w:val="2"/>
          <w:sz w:val="28"/>
          <w:szCs w:val="28"/>
        </w:rPr>
        <w:t>万元，用于召开0会议，人数</w:t>
      </w:r>
      <w:r>
        <w:rPr>
          <w:rFonts w:asciiTheme="minorEastAsia" w:hAnsiTheme="minorEastAsia" w:eastAsiaTheme="minorEastAsia" w:cstheme="minorBidi"/>
          <w:color w:val="auto"/>
          <w:kern w:val="2"/>
          <w:sz w:val="28"/>
          <w:szCs w:val="28"/>
        </w:rPr>
        <w:t>0</w:t>
      </w:r>
      <w:r>
        <w:rPr>
          <w:rFonts w:hint="eastAsia" w:asciiTheme="minorEastAsia" w:hAnsiTheme="minorEastAsia" w:eastAsiaTheme="minorEastAsia" w:cstheme="minorBidi"/>
          <w:color w:val="auto"/>
          <w:kern w:val="2"/>
          <w:sz w:val="28"/>
          <w:szCs w:val="28"/>
        </w:rPr>
        <w:t>人，开支培训费</w:t>
      </w:r>
      <w:r>
        <w:rPr>
          <w:rFonts w:asciiTheme="minorEastAsia" w:hAnsiTheme="minorEastAsia" w:eastAsiaTheme="minorEastAsia" w:cstheme="minorBidi"/>
          <w:color w:val="auto"/>
          <w:kern w:val="2"/>
          <w:sz w:val="28"/>
          <w:szCs w:val="28"/>
        </w:rPr>
        <w:t>0</w:t>
      </w:r>
      <w:r>
        <w:rPr>
          <w:rFonts w:hint="eastAsia" w:asciiTheme="minorEastAsia" w:hAnsiTheme="minorEastAsia" w:eastAsiaTheme="minorEastAsia" w:cstheme="minorBidi"/>
          <w:color w:val="auto"/>
          <w:kern w:val="2"/>
          <w:sz w:val="28"/>
          <w:szCs w:val="28"/>
        </w:rPr>
        <w:t>万元，用于开展0培训，人数</w:t>
      </w:r>
      <w:r>
        <w:rPr>
          <w:rFonts w:asciiTheme="minorEastAsia" w:hAnsiTheme="minorEastAsia" w:eastAsiaTheme="minorEastAsia" w:cstheme="minorBidi"/>
          <w:color w:val="auto"/>
          <w:kern w:val="2"/>
          <w:sz w:val="28"/>
          <w:szCs w:val="28"/>
        </w:rPr>
        <w:t>0</w:t>
      </w:r>
      <w:r>
        <w:rPr>
          <w:rFonts w:hint="eastAsia" w:asciiTheme="minorEastAsia" w:hAnsiTheme="minorEastAsia" w:eastAsiaTheme="minorEastAsia" w:cstheme="minorBidi"/>
          <w:color w:val="auto"/>
          <w:kern w:val="2"/>
          <w:sz w:val="28"/>
          <w:szCs w:val="28"/>
        </w:rPr>
        <w:t>人，未举办节庆、晚会、论坛、赛事活动，开支</w:t>
      </w:r>
      <w:r>
        <w:rPr>
          <w:rFonts w:asciiTheme="minorEastAsia" w:hAnsiTheme="minorEastAsia" w:eastAsiaTheme="minorEastAsia" w:cstheme="minorBidi"/>
          <w:color w:val="auto"/>
          <w:kern w:val="2"/>
          <w:sz w:val="28"/>
          <w:szCs w:val="28"/>
        </w:rPr>
        <w:t>0</w:t>
      </w:r>
      <w:r>
        <w:rPr>
          <w:rFonts w:hint="eastAsia" w:asciiTheme="minorEastAsia" w:hAnsiTheme="minorEastAsia" w:eastAsiaTheme="minorEastAsia" w:cstheme="minorBidi"/>
          <w:color w:val="auto"/>
          <w:kern w:val="2"/>
          <w:sz w:val="28"/>
          <w:szCs w:val="28"/>
        </w:rPr>
        <w:t>万元。</w:t>
      </w:r>
    </w:p>
    <w:p w14:paraId="0DAAD737">
      <w:pPr>
        <w:pStyle w:val="11"/>
        <w:rPr>
          <w:rFonts w:hAnsi="黑体"/>
          <w:b/>
          <w:sz w:val="32"/>
          <w:szCs w:val="32"/>
        </w:rPr>
      </w:pPr>
      <w:r>
        <w:rPr>
          <w:rFonts w:hint="eastAsia" w:hAnsi="黑体"/>
          <w:b/>
          <w:sz w:val="32"/>
          <w:szCs w:val="32"/>
        </w:rPr>
        <w:t>十一、政府采购支出说明</w:t>
      </w:r>
    </w:p>
    <w:p w14:paraId="05749542">
      <w:pPr>
        <w:pStyle w:val="11"/>
        <w:ind w:firstLine="560" w:firstLineChars="200"/>
        <w:rPr>
          <w:rFonts w:hint="eastAsia" w:asciiTheme="minorEastAsia" w:hAnsiTheme="minorEastAsia" w:eastAsiaTheme="minorEastAsia" w:cstheme="minorBidi"/>
          <w:color w:val="auto"/>
          <w:kern w:val="2"/>
          <w:sz w:val="28"/>
          <w:szCs w:val="28"/>
        </w:rPr>
      </w:pPr>
      <w:r>
        <w:rPr>
          <w:rFonts w:hint="eastAsia" w:asciiTheme="minorEastAsia" w:hAnsiTheme="minorEastAsia" w:eastAsiaTheme="minorEastAsia" w:cstheme="minorBidi"/>
          <w:color w:val="auto"/>
          <w:kern w:val="2"/>
          <w:sz w:val="28"/>
          <w:szCs w:val="28"/>
        </w:rPr>
        <w:t>本部门2021年度政府采购支出总额</w:t>
      </w:r>
      <w:r>
        <w:rPr>
          <w:rFonts w:hint="eastAsia" w:asciiTheme="minorEastAsia" w:hAnsiTheme="minorEastAsia" w:eastAsiaTheme="minorEastAsia" w:cstheme="minorBidi"/>
          <w:color w:val="auto"/>
          <w:kern w:val="2"/>
          <w:sz w:val="28"/>
          <w:szCs w:val="28"/>
          <w:lang w:val="en-US" w:eastAsia="zh-CN"/>
        </w:rPr>
        <w:t>0</w:t>
      </w:r>
      <w:r>
        <w:rPr>
          <w:rFonts w:hint="eastAsia" w:asciiTheme="minorEastAsia" w:hAnsiTheme="minorEastAsia" w:eastAsiaTheme="minorEastAsia" w:cstheme="minorBidi"/>
          <w:color w:val="auto"/>
          <w:kern w:val="2"/>
          <w:sz w:val="28"/>
          <w:szCs w:val="28"/>
        </w:rPr>
        <w:t>万元，其中：政府采购货物支出</w:t>
      </w:r>
      <w:r>
        <w:rPr>
          <w:rFonts w:hint="eastAsia" w:asciiTheme="minorEastAsia" w:hAnsiTheme="minorEastAsia" w:eastAsiaTheme="minorEastAsia" w:cstheme="minorBidi"/>
          <w:color w:val="auto"/>
          <w:kern w:val="2"/>
          <w:sz w:val="28"/>
          <w:szCs w:val="28"/>
          <w:lang w:val="en-US" w:eastAsia="zh-CN"/>
        </w:rPr>
        <w:t>0</w:t>
      </w:r>
      <w:r>
        <w:rPr>
          <w:rFonts w:hint="eastAsia" w:asciiTheme="minorEastAsia" w:hAnsiTheme="minorEastAsia" w:eastAsiaTheme="minorEastAsia" w:cstheme="minorBidi"/>
          <w:color w:val="auto"/>
          <w:kern w:val="2"/>
          <w:sz w:val="28"/>
          <w:szCs w:val="28"/>
        </w:rPr>
        <w:t>万元、政府采购工程支出</w:t>
      </w:r>
      <w:r>
        <w:rPr>
          <w:rFonts w:hint="eastAsia" w:asciiTheme="minorEastAsia" w:hAnsiTheme="minorEastAsia" w:eastAsiaTheme="minorEastAsia" w:cstheme="minorBidi"/>
          <w:color w:val="auto"/>
          <w:kern w:val="2"/>
          <w:sz w:val="28"/>
          <w:szCs w:val="28"/>
          <w:lang w:val="en-US" w:eastAsia="zh-CN"/>
        </w:rPr>
        <w:t>0</w:t>
      </w:r>
      <w:r>
        <w:rPr>
          <w:rFonts w:hint="eastAsia" w:asciiTheme="minorEastAsia" w:hAnsiTheme="minorEastAsia" w:eastAsiaTheme="minorEastAsia" w:cstheme="minorBidi"/>
          <w:color w:val="auto"/>
          <w:kern w:val="2"/>
          <w:sz w:val="28"/>
          <w:szCs w:val="28"/>
        </w:rPr>
        <w:t>万元、政府采购服务支出</w:t>
      </w:r>
      <w:r>
        <w:rPr>
          <w:rFonts w:hint="eastAsia" w:asciiTheme="minorEastAsia" w:hAnsiTheme="minorEastAsia" w:eastAsiaTheme="minorEastAsia" w:cstheme="minorBidi"/>
          <w:color w:val="auto"/>
          <w:kern w:val="2"/>
          <w:sz w:val="28"/>
          <w:szCs w:val="28"/>
          <w:lang w:val="en-US" w:eastAsia="zh-CN"/>
        </w:rPr>
        <w:t>0</w:t>
      </w:r>
      <w:r>
        <w:rPr>
          <w:rFonts w:hint="eastAsia" w:asciiTheme="minorEastAsia" w:hAnsiTheme="minorEastAsia" w:eastAsiaTheme="minorEastAsia" w:cstheme="minorBidi"/>
          <w:color w:val="auto"/>
          <w:kern w:val="2"/>
          <w:sz w:val="28"/>
          <w:szCs w:val="28"/>
        </w:rPr>
        <w:t>万元。授予中小企业合同金额</w:t>
      </w:r>
      <w:r>
        <w:rPr>
          <w:rFonts w:hint="eastAsia" w:asciiTheme="minorEastAsia" w:hAnsiTheme="minorEastAsia" w:eastAsiaTheme="minorEastAsia" w:cstheme="minorBidi"/>
          <w:color w:val="auto"/>
          <w:kern w:val="2"/>
          <w:sz w:val="28"/>
          <w:szCs w:val="28"/>
          <w:lang w:val="en-US" w:eastAsia="zh-CN"/>
        </w:rPr>
        <w:t>0</w:t>
      </w:r>
      <w:r>
        <w:rPr>
          <w:rFonts w:hint="eastAsia" w:asciiTheme="minorEastAsia" w:hAnsiTheme="minorEastAsia" w:eastAsiaTheme="minorEastAsia" w:cstheme="minorBidi"/>
          <w:color w:val="auto"/>
          <w:kern w:val="2"/>
          <w:sz w:val="28"/>
          <w:szCs w:val="28"/>
        </w:rPr>
        <w:t>万元，占政府采购支出总额的</w:t>
      </w:r>
      <w:r>
        <w:rPr>
          <w:rFonts w:hint="eastAsia" w:asciiTheme="minorEastAsia" w:hAnsiTheme="minorEastAsia" w:eastAsiaTheme="minorEastAsia" w:cstheme="minorBidi"/>
          <w:color w:val="auto"/>
          <w:kern w:val="2"/>
          <w:sz w:val="28"/>
          <w:szCs w:val="28"/>
          <w:lang w:val="en-US" w:eastAsia="zh-CN"/>
        </w:rPr>
        <w:t>0</w:t>
      </w:r>
      <w:r>
        <w:rPr>
          <w:rFonts w:hint="eastAsia" w:asciiTheme="minorEastAsia" w:hAnsiTheme="minorEastAsia" w:eastAsiaTheme="minorEastAsia" w:cstheme="minorBidi"/>
          <w:color w:val="auto"/>
          <w:kern w:val="2"/>
          <w:sz w:val="28"/>
          <w:szCs w:val="28"/>
        </w:rPr>
        <w:t>%，其中：授予小微企业合同金额</w:t>
      </w:r>
      <w:r>
        <w:rPr>
          <w:rFonts w:hint="eastAsia" w:asciiTheme="minorEastAsia" w:hAnsiTheme="minorEastAsia" w:eastAsiaTheme="minorEastAsia" w:cstheme="minorBidi"/>
          <w:color w:val="auto"/>
          <w:kern w:val="2"/>
          <w:sz w:val="28"/>
          <w:szCs w:val="28"/>
          <w:lang w:val="en-US" w:eastAsia="zh-CN"/>
        </w:rPr>
        <w:t>0</w:t>
      </w:r>
      <w:r>
        <w:rPr>
          <w:rFonts w:hint="eastAsia" w:asciiTheme="minorEastAsia" w:hAnsiTheme="minorEastAsia" w:eastAsiaTheme="minorEastAsia" w:cstheme="minorBidi"/>
          <w:color w:val="auto"/>
          <w:kern w:val="2"/>
          <w:sz w:val="28"/>
          <w:szCs w:val="28"/>
        </w:rPr>
        <w:t>万元，占授予中小企业合同金额的</w:t>
      </w:r>
      <w:r>
        <w:rPr>
          <w:rFonts w:hint="eastAsia" w:asciiTheme="minorEastAsia" w:hAnsiTheme="minorEastAsia" w:eastAsiaTheme="minorEastAsia" w:cstheme="minorBidi"/>
          <w:color w:val="auto"/>
          <w:kern w:val="2"/>
          <w:sz w:val="28"/>
          <w:szCs w:val="28"/>
          <w:lang w:val="en-US" w:eastAsia="zh-CN"/>
        </w:rPr>
        <w:t>0</w:t>
      </w:r>
      <w:r>
        <w:rPr>
          <w:rFonts w:hint="eastAsia" w:asciiTheme="minorEastAsia" w:hAnsiTheme="minorEastAsia" w:eastAsiaTheme="minorEastAsia" w:cstheme="minorBidi"/>
          <w:color w:val="auto"/>
          <w:kern w:val="2"/>
          <w:sz w:val="28"/>
          <w:szCs w:val="28"/>
        </w:rPr>
        <w:t>%；货物采购授予中小企业合同金额占货物支出金额的</w:t>
      </w:r>
      <w:r>
        <w:rPr>
          <w:rFonts w:hint="eastAsia" w:asciiTheme="minorEastAsia" w:hAnsiTheme="minorEastAsia" w:eastAsiaTheme="minorEastAsia" w:cstheme="minorBidi"/>
          <w:color w:val="auto"/>
          <w:kern w:val="2"/>
          <w:sz w:val="28"/>
          <w:szCs w:val="28"/>
          <w:lang w:val="en-US" w:eastAsia="zh-CN"/>
        </w:rPr>
        <w:t>0</w:t>
      </w:r>
      <w:r>
        <w:rPr>
          <w:rFonts w:hint="eastAsia" w:asciiTheme="minorEastAsia" w:hAnsiTheme="minorEastAsia" w:eastAsiaTheme="minorEastAsia" w:cstheme="minorBidi"/>
          <w:color w:val="auto"/>
          <w:kern w:val="2"/>
          <w:sz w:val="28"/>
          <w:szCs w:val="28"/>
        </w:rPr>
        <w:t>%，工程采购授予中小企业合同金额占工程支出金额的</w:t>
      </w:r>
      <w:r>
        <w:rPr>
          <w:rFonts w:hint="eastAsia" w:asciiTheme="minorEastAsia" w:hAnsiTheme="minorEastAsia" w:eastAsiaTheme="minorEastAsia" w:cstheme="minorBidi"/>
          <w:color w:val="auto"/>
          <w:kern w:val="2"/>
          <w:sz w:val="28"/>
          <w:szCs w:val="28"/>
          <w:lang w:val="en-US" w:eastAsia="zh-CN"/>
        </w:rPr>
        <w:t>0</w:t>
      </w:r>
      <w:r>
        <w:rPr>
          <w:rFonts w:hint="eastAsia" w:asciiTheme="minorEastAsia" w:hAnsiTheme="minorEastAsia" w:eastAsiaTheme="minorEastAsia" w:cstheme="minorBidi"/>
          <w:color w:val="auto"/>
          <w:kern w:val="2"/>
          <w:sz w:val="28"/>
          <w:szCs w:val="28"/>
        </w:rPr>
        <w:t>%，服务采购授予中小企业合同金额占服务支出金额的</w:t>
      </w:r>
      <w:r>
        <w:rPr>
          <w:rFonts w:hint="eastAsia" w:asciiTheme="minorEastAsia" w:hAnsiTheme="minorEastAsia" w:eastAsiaTheme="minorEastAsia" w:cstheme="minorBidi"/>
          <w:color w:val="auto"/>
          <w:kern w:val="2"/>
          <w:sz w:val="28"/>
          <w:szCs w:val="28"/>
          <w:lang w:val="en-US" w:eastAsia="zh-CN"/>
        </w:rPr>
        <w:t>0</w:t>
      </w:r>
      <w:r>
        <w:rPr>
          <w:rFonts w:hint="eastAsia" w:asciiTheme="minorEastAsia" w:hAnsiTheme="minorEastAsia" w:eastAsiaTheme="minorEastAsia" w:cstheme="minorBidi"/>
          <w:color w:val="auto"/>
          <w:kern w:val="2"/>
          <w:sz w:val="28"/>
          <w:szCs w:val="28"/>
        </w:rPr>
        <w:t>%。</w:t>
      </w:r>
    </w:p>
    <w:p w14:paraId="617862C0">
      <w:pPr>
        <w:pStyle w:val="11"/>
        <w:rPr>
          <w:rFonts w:hAnsi="黑体"/>
          <w:b/>
          <w:sz w:val="32"/>
          <w:szCs w:val="32"/>
        </w:rPr>
      </w:pPr>
      <w:r>
        <w:rPr>
          <w:rFonts w:hint="eastAsia" w:hAnsi="黑体"/>
          <w:b/>
          <w:sz w:val="32"/>
          <w:szCs w:val="32"/>
        </w:rPr>
        <w:t>十二、国有资产占用情况说明</w:t>
      </w:r>
    </w:p>
    <w:p w14:paraId="2739D4E8">
      <w:pPr>
        <w:pStyle w:val="11"/>
        <w:ind w:firstLine="560" w:firstLineChars="200"/>
        <w:rPr>
          <w:rFonts w:asciiTheme="minorEastAsia" w:hAnsiTheme="minorEastAsia" w:eastAsiaTheme="minorEastAsia" w:cstheme="minorBidi"/>
          <w:color w:val="auto"/>
          <w:kern w:val="2"/>
          <w:sz w:val="28"/>
          <w:szCs w:val="28"/>
        </w:rPr>
      </w:pPr>
      <w:r>
        <w:rPr>
          <w:rFonts w:hint="eastAsia" w:asciiTheme="minorEastAsia" w:hAnsiTheme="minorEastAsia" w:eastAsiaTheme="minorEastAsia" w:cstheme="minorBidi"/>
          <w:color w:val="auto"/>
          <w:kern w:val="2"/>
          <w:sz w:val="28"/>
          <w:szCs w:val="28"/>
        </w:rPr>
        <w:t>截至2021年12月31日，</w:t>
      </w:r>
      <w:r>
        <w:rPr>
          <w:rFonts w:hint="eastAsia" w:asciiTheme="minorEastAsia" w:hAnsiTheme="minorEastAsia" w:eastAsiaTheme="minorEastAsia" w:cstheme="minorBidi"/>
          <w:color w:val="auto"/>
          <w:kern w:val="2"/>
          <w:sz w:val="28"/>
          <w:szCs w:val="28"/>
          <w:lang w:eastAsia="zh-CN"/>
        </w:rPr>
        <w:t>单位</w:t>
      </w:r>
      <w:r>
        <w:rPr>
          <w:rFonts w:hint="eastAsia" w:asciiTheme="minorEastAsia" w:hAnsiTheme="minorEastAsia" w:eastAsiaTheme="minorEastAsia" w:cstheme="minorBidi"/>
          <w:color w:val="auto"/>
          <w:kern w:val="2"/>
          <w:sz w:val="28"/>
          <w:szCs w:val="28"/>
        </w:rPr>
        <w:t>共有车辆1辆，其中，主要领导干部用车0辆，机要通信用车0辆、应急保障用车1辆、执法执勤用车0辆、特种专业技术用车0辆、其他用车0辆；单位价值50万元以上通用设备1台（套）；单位价值100万元以上专用设备0台（套）。</w:t>
      </w:r>
    </w:p>
    <w:p w14:paraId="68B9405E">
      <w:pPr>
        <w:pStyle w:val="11"/>
        <w:rPr>
          <w:rFonts w:hAnsi="黑体"/>
          <w:b/>
          <w:sz w:val="32"/>
          <w:szCs w:val="32"/>
        </w:rPr>
      </w:pPr>
      <w:r>
        <w:rPr>
          <w:rFonts w:hint="eastAsia" w:hAnsi="黑体"/>
          <w:b/>
          <w:sz w:val="32"/>
          <w:szCs w:val="32"/>
        </w:rPr>
        <w:t>十三、2021年度预算绩效情况说明</w:t>
      </w:r>
    </w:p>
    <w:p w14:paraId="2680E6BC">
      <w:pPr>
        <w:pStyle w:val="11"/>
        <w:ind w:firstLine="560" w:firstLineChars="200"/>
        <w:jc w:val="left"/>
        <w:rPr>
          <w:color w:val="FF0000"/>
          <w:sz w:val="72"/>
          <w:szCs w:val="72"/>
        </w:rPr>
      </w:pPr>
      <w:r>
        <w:rPr>
          <w:rFonts w:hint="eastAsia" w:asciiTheme="minorEastAsia" w:hAnsiTheme="minorEastAsia" w:eastAsiaTheme="minorEastAsia"/>
          <w:color w:val="auto"/>
          <w:sz w:val="28"/>
          <w:szCs w:val="28"/>
          <w:highlight w:val="none"/>
        </w:rPr>
        <w:t>本单位按照《湖南省财政厅关于开展2021年度部门整体支出绩效自评工作的通知》（湘财绩【2022】1号）要求，开展了部门整体支出绩效自评工作，撰写2021年部门整体支出绩效评价报告。已由上级单位汇总公开，本次随部门决算一同公开。</w:t>
      </w:r>
    </w:p>
    <w:p w14:paraId="396F987C">
      <w:pPr>
        <w:pStyle w:val="11"/>
        <w:jc w:val="center"/>
        <w:rPr>
          <w:sz w:val="72"/>
          <w:szCs w:val="72"/>
        </w:rPr>
      </w:pPr>
    </w:p>
    <w:p w14:paraId="4D6BD18D">
      <w:pPr>
        <w:pStyle w:val="11"/>
        <w:jc w:val="center"/>
        <w:rPr>
          <w:sz w:val="72"/>
          <w:szCs w:val="72"/>
        </w:rPr>
      </w:pPr>
    </w:p>
    <w:p w14:paraId="2940059E">
      <w:pPr>
        <w:pStyle w:val="11"/>
        <w:jc w:val="both"/>
        <w:rPr>
          <w:sz w:val="72"/>
          <w:szCs w:val="72"/>
        </w:rPr>
      </w:pPr>
    </w:p>
    <w:p w14:paraId="2B4BB762">
      <w:pPr>
        <w:pStyle w:val="11"/>
        <w:jc w:val="center"/>
        <w:rPr>
          <w:sz w:val="72"/>
          <w:szCs w:val="72"/>
        </w:rPr>
      </w:pPr>
    </w:p>
    <w:p w14:paraId="4E249117">
      <w:pPr>
        <w:pStyle w:val="11"/>
        <w:jc w:val="both"/>
        <w:rPr>
          <w:sz w:val="72"/>
          <w:szCs w:val="72"/>
        </w:rPr>
      </w:pPr>
    </w:p>
    <w:p w14:paraId="3D9C83D5">
      <w:pPr>
        <w:pStyle w:val="11"/>
        <w:jc w:val="center"/>
        <w:rPr>
          <w:sz w:val="72"/>
          <w:szCs w:val="72"/>
        </w:rPr>
      </w:pPr>
      <w:r>
        <w:rPr>
          <w:rFonts w:hint="eastAsia"/>
          <w:sz w:val="72"/>
          <w:szCs w:val="72"/>
        </w:rPr>
        <w:t>第四部分</w:t>
      </w:r>
    </w:p>
    <w:p w14:paraId="59ED228A">
      <w:pPr>
        <w:jc w:val="center"/>
        <w:rPr>
          <w:rFonts w:ascii="黑体" w:eastAsia="黑体" w:cs="黑体"/>
          <w:color w:val="000000"/>
          <w:kern w:val="0"/>
          <w:sz w:val="70"/>
          <w:szCs w:val="70"/>
        </w:rPr>
      </w:pPr>
    </w:p>
    <w:p w14:paraId="63661155">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14:paraId="58E5427F">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14:paraId="60F2AA09">
      <w:pPr>
        <w:ind w:firstLine="640" w:firstLineChars="200"/>
        <w:jc w:val="left"/>
        <w:rPr>
          <w:rFonts w:cs="黑体" w:asciiTheme="minorEastAsia" w:hAnsiTheme="minorEastAsia"/>
          <w:color w:val="000000"/>
          <w:kern w:val="0"/>
          <w:sz w:val="32"/>
          <w:szCs w:val="32"/>
        </w:rPr>
      </w:pPr>
    </w:p>
    <w:p w14:paraId="3ECA507A">
      <w:pPr>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一、基本支出：指为保障机构正常运转、完成日常工作任务而发生的各项支出，包括人员支出和公用支出。</w:t>
      </w:r>
    </w:p>
    <w:p w14:paraId="05B279F6">
      <w:pPr>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二、项目支出：指在基本支出以外为完成相关行政任务和事业发展目标所发生的各项支出。</w:t>
      </w:r>
    </w:p>
    <w:p w14:paraId="6C3D82E7">
      <w:pPr>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三、“三公”经费：指通过财政拨款资金安排的因公出国（境）费、公务用车购置及运行费和公务接待费支出。</w:t>
      </w:r>
    </w:p>
    <w:p w14:paraId="4147A266">
      <w:pPr>
        <w:ind w:firstLine="560" w:firstLineChars="200"/>
        <w:jc w:val="left"/>
        <w:rPr>
          <w:rFonts w:ascii="宋体" w:hAnsi="宋体" w:cs="宋体"/>
          <w:color w:val="000000"/>
          <w:kern w:val="0"/>
          <w:sz w:val="28"/>
          <w:szCs w:val="28"/>
        </w:rPr>
      </w:pPr>
      <w:r>
        <w:rPr>
          <w:rFonts w:ascii="宋体" w:hAnsi="宋体" w:cs="宋体"/>
          <w:color w:val="000000"/>
          <w:kern w:val="0"/>
          <w:sz w:val="28"/>
          <w:szCs w:val="28"/>
        </w:rPr>
        <w:t>四、机关运行经费：是指行政单位和参照公务员法管理事业单位一般公共预算财政拨款基本支出中公用经费之和，包括办公及印刷费、邮电费、差旅费、会议费、福利费、日常维修费、专用材料及一般设备购置费、办公用房水电费、办公用房取暖费、办公用房物业管理费、公务用车运行维护费以及其他费用等。</w:t>
      </w:r>
    </w:p>
    <w:p w14:paraId="41DF582C">
      <w:pPr>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五、自然资源海洋气象等事务支出：是指用于自然资源、海洋、测绘等方面的支出。</w:t>
      </w:r>
    </w:p>
    <w:p w14:paraId="69F2A46C">
      <w:pPr>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六、灾害防治及应急管理支出：是指用于地质灾害防治和应急管理等方面的支出。</w:t>
      </w:r>
    </w:p>
    <w:p w14:paraId="01DE7B65">
      <w:pPr>
        <w:ind w:firstLine="560" w:firstLineChars="200"/>
        <w:jc w:val="left"/>
        <w:rPr>
          <w:rFonts w:ascii="宋体" w:hAnsi="宋体" w:cs="宋体"/>
          <w:color w:val="000000"/>
          <w:kern w:val="0"/>
          <w:sz w:val="28"/>
          <w:szCs w:val="28"/>
        </w:rPr>
      </w:pPr>
    </w:p>
    <w:p w14:paraId="15880609">
      <w:pPr>
        <w:pStyle w:val="11"/>
        <w:jc w:val="both"/>
        <w:rPr>
          <w:sz w:val="72"/>
          <w:szCs w:val="72"/>
        </w:rPr>
      </w:pPr>
    </w:p>
    <w:p w14:paraId="741FCB8B">
      <w:pPr>
        <w:pStyle w:val="11"/>
        <w:jc w:val="center"/>
        <w:rPr>
          <w:sz w:val="72"/>
          <w:szCs w:val="72"/>
        </w:rPr>
      </w:pPr>
    </w:p>
    <w:p w14:paraId="004E8B39">
      <w:pPr>
        <w:pStyle w:val="11"/>
        <w:jc w:val="center"/>
        <w:rPr>
          <w:sz w:val="72"/>
          <w:szCs w:val="72"/>
        </w:rPr>
      </w:pPr>
    </w:p>
    <w:p w14:paraId="63592F73">
      <w:pPr>
        <w:pStyle w:val="11"/>
        <w:jc w:val="center"/>
        <w:rPr>
          <w:sz w:val="72"/>
          <w:szCs w:val="72"/>
        </w:rPr>
      </w:pPr>
    </w:p>
    <w:p w14:paraId="4990B96D">
      <w:pPr>
        <w:pStyle w:val="11"/>
        <w:jc w:val="center"/>
        <w:rPr>
          <w:sz w:val="72"/>
          <w:szCs w:val="72"/>
        </w:rPr>
      </w:pPr>
    </w:p>
    <w:p w14:paraId="11A00662">
      <w:pPr>
        <w:pStyle w:val="11"/>
        <w:jc w:val="center"/>
        <w:rPr>
          <w:sz w:val="72"/>
          <w:szCs w:val="72"/>
        </w:rPr>
      </w:pPr>
    </w:p>
    <w:p w14:paraId="1F6D1347">
      <w:pPr>
        <w:pStyle w:val="11"/>
        <w:rPr>
          <w:rFonts w:hint="eastAsia"/>
          <w:sz w:val="72"/>
          <w:szCs w:val="72"/>
        </w:rPr>
      </w:pPr>
    </w:p>
    <w:p w14:paraId="3A4A34A0">
      <w:pPr>
        <w:pStyle w:val="11"/>
        <w:rPr>
          <w:rFonts w:hint="eastAsia"/>
          <w:sz w:val="72"/>
          <w:szCs w:val="72"/>
        </w:rPr>
      </w:pPr>
    </w:p>
    <w:p w14:paraId="33FB79DB">
      <w:pPr>
        <w:pStyle w:val="11"/>
        <w:jc w:val="both"/>
        <w:rPr>
          <w:sz w:val="72"/>
          <w:szCs w:val="72"/>
        </w:rPr>
      </w:pPr>
    </w:p>
    <w:p w14:paraId="6A01FF21">
      <w:pPr>
        <w:pStyle w:val="11"/>
        <w:jc w:val="center"/>
        <w:rPr>
          <w:sz w:val="72"/>
          <w:szCs w:val="72"/>
        </w:rPr>
      </w:pPr>
      <w:r>
        <w:rPr>
          <w:rFonts w:hint="eastAsia"/>
          <w:sz w:val="72"/>
          <w:szCs w:val="72"/>
        </w:rPr>
        <w:t>第五部分</w:t>
      </w:r>
    </w:p>
    <w:p w14:paraId="0A2C88E4">
      <w:pPr>
        <w:jc w:val="center"/>
        <w:rPr>
          <w:rFonts w:ascii="黑体" w:eastAsia="黑体" w:cs="黑体"/>
          <w:color w:val="000000"/>
          <w:kern w:val="0"/>
          <w:sz w:val="70"/>
          <w:szCs w:val="70"/>
        </w:rPr>
      </w:pPr>
    </w:p>
    <w:p w14:paraId="3481F7B1">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14:paraId="6575E049">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14:paraId="1B945F80">
      <w:pPr>
        <w:jc w:val="center"/>
        <w:rPr>
          <w:rFonts w:cs="黑体" w:asciiTheme="minorEastAsia" w:hAnsiTheme="minorEastAsia"/>
          <w:b/>
          <w:color w:val="000000"/>
          <w:kern w:val="0"/>
          <w:sz w:val="36"/>
          <w:szCs w:val="36"/>
        </w:rPr>
      </w:pPr>
      <w:r>
        <w:rPr>
          <w:rFonts w:hint="eastAsia" w:cs="黑体" w:asciiTheme="minorEastAsia" w:hAnsiTheme="minorEastAsia"/>
          <w:b/>
          <w:color w:val="000000"/>
          <w:kern w:val="0"/>
          <w:sz w:val="36"/>
          <w:szCs w:val="36"/>
        </w:rPr>
        <w:t>2021年度部门整体支出绩效评价报告</w:t>
      </w:r>
    </w:p>
    <w:p w14:paraId="3F7E0F6A">
      <w:pPr>
        <w:ind w:firstLine="640" w:firstLineChars="200"/>
        <w:rPr>
          <w:rFonts w:ascii="黑体" w:eastAsia="黑体"/>
          <w:sz w:val="32"/>
          <w:szCs w:val="32"/>
        </w:rPr>
      </w:pPr>
      <w:r>
        <w:rPr>
          <w:rFonts w:hint="eastAsia" w:ascii="黑体" w:eastAsia="黑体"/>
          <w:sz w:val="32"/>
          <w:szCs w:val="32"/>
        </w:rPr>
        <w:t>一、单位基本情况</w:t>
      </w:r>
    </w:p>
    <w:p w14:paraId="72C42FE6">
      <w:pPr>
        <w:pStyle w:val="5"/>
        <w:widowControl/>
        <w:shd w:val="clear"/>
        <w:spacing w:before="0" w:beforeAutospacing="0" w:after="0" w:afterAutospacing="0"/>
        <w:ind w:firstLine="420"/>
        <w:rPr>
          <w:rFonts w:ascii="楷体_GB2312" w:eastAsia="楷体_GB2312"/>
          <w:b/>
          <w:kern w:val="2"/>
          <w:sz w:val="32"/>
          <w:szCs w:val="32"/>
        </w:rPr>
      </w:pPr>
      <w:r>
        <w:rPr>
          <w:rFonts w:hint="eastAsia" w:ascii="楷体_GB2312" w:eastAsia="楷体_GB2312"/>
          <w:b/>
          <w:kern w:val="2"/>
          <w:sz w:val="32"/>
          <w:szCs w:val="32"/>
        </w:rPr>
        <w:t>（一）单位简介</w:t>
      </w:r>
    </w:p>
    <w:p w14:paraId="61564254">
      <w:pPr>
        <w:pStyle w:val="5"/>
        <w:widowControl/>
        <w:shd w:val="clear"/>
        <w:spacing w:before="0" w:beforeAutospacing="0" w:after="0" w:afterAutospacing="0"/>
        <w:ind w:firstLine="560" w:firstLineChars="200"/>
        <w:rPr>
          <w:rFonts w:ascii="仿宋" w:hAnsi="仿宋" w:eastAsia="仿宋" w:cs="仿宋"/>
          <w:kern w:val="2"/>
          <w:sz w:val="28"/>
          <w:szCs w:val="28"/>
        </w:rPr>
      </w:pPr>
      <w:r>
        <w:rPr>
          <w:rFonts w:hint="eastAsia" w:ascii="仿宋" w:hAnsi="仿宋" w:eastAsia="仿宋" w:cs="仿宋"/>
          <w:kern w:val="2"/>
          <w:sz w:val="28"/>
          <w:szCs w:val="28"/>
        </w:rPr>
        <w:t>湖南省地质矿产勘查开发局四0三队，组建于1956年，为县团级（正处级） 财政差额拨款的事业单位，现行政关系隶属于湖南省地质院。主要从事地质矿产勘查、水文地质与工程地质勘查、地质技术研究与咨询、环境地质调查与地灾防治、基础工程勘察与施工等工作。</w:t>
      </w:r>
    </w:p>
    <w:p w14:paraId="6A27039D">
      <w:pPr>
        <w:pStyle w:val="5"/>
        <w:widowControl/>
        <w:shd w:val="clear"/>
        <w:spacing w:before="0" w:beforeAutospacing="0" w:after="0" w:afterAutospacing="0"/>
        <w:ind w:firstLine="560" w:firstLineChars="200"/>
        <w:rPr>
          <w:rFonts w:ascii="仿宋" w:hAnsi="仿宋" w:eastAsia="仿宋" w:cs="仿宋"/>
          <w:kern w:val="2"/>
          <w:sz w:val="28"/>
          <w:szCs w:val="28"/>
        </w:rPr>
      </w:pPr>
      <w:r>
        <w:rPr>
          <w:rFonts w:hint="eastAsia" w:ascii="仿宋" w:hAnsi="仿宋" w:eastAsia="仿宋" w:cs="仿宋"/>
          <w:kern w:val="2"/>
          <w:sz w:val="28"/>
          <w:szCs w:val="28"/>
        </w:rPr>
        <w:t>建队六十多年来，四0三队在湘西北及毗邻地区先后发现和查明矿产资源65种，矿床（点）700多处，已探明大型—特大矿床24处，中型矿床50处，小型矿床128处，向国家提交各类地质成果报告千余份，获省部以上科技成果奖20余项，为国家、地方经济建设提供了丰富的矿产资源和大批可供远景规划及建设利用的科研成果与地质资料。其中湘澧盐矿、石门雄黄矿、石门磷矿、青峰煤矿、赤峰煤矿、白龙煤矿、团结煤矿、新澧化工、合口石膏、大浒钼镍矿、石门海螺水泥等一批矿山企业已成为湘西北举足轻重的经济支柱，钼镍矿、无水芒硝、海泡石矿、膨润土矿的发现，填补了省内空白。潜在资源经济价值巨大，有力促进了国家和地方经济发展。</w:t>
      </w:r>
    </w:p>
    <w:p w14:paraId="0896C32E">
      <w:pPr>
        <w:pStyle w:val="5"/>
        <w:widowControl/>
        <w:shd w:val="clear"/>
        <w:spacing w:before="0" w:beforeAutospacing="0" w:after="0" w:afterAutospacing="0"/>
        <w:ind w:firstLine="560" w:firstLineChars="200"/>
        <w:rPr>
          <w:rFonts w:ascii="仿宋" w:hAnsi="仿宋" w:eastAsia="仿宋" w:cs="仿宋"/>
          <w:kern w:val="2"/>
          <w:sz w:val="28"/>
          <w:szCs w:val="28"/>
        </w:rPr>
      </w:pPr>
      <w:r>
        <w:rPr>
          <w:rFonts w:ascii="仿宋" w:hAnsi="仿宋" w:eastAsia="仿宋" w:cs="仿宋"/>
          <w:kern w:val="2"/>
          <w:sz w:val="28"/>
          <w:szCs w:val="28"/>
        </w:rPr>
        <w:t>四0三队现拥有：区域地质调查甲级、</w:t>
      </w:r>
      <w:r>
        <w:rPr>
          <w:rFonts w:hint="eastAsia" w:ascii="仿宋" w:hAnsi="仿宋" w:eastAsia="仿宋" w:cs="仿宋"/>
          <w:kern w:val="2"/>
          <w:sz w:val="28"/>
          <w:szCs w:val="28"/>
        </w:rPr>
        <w:t>固</w:t>
      </w:r>
      <w:r>
        <w:rPr>
          <w:rFonts w:ascii="仿宋" w:hAnsi="仿宋" w:eastAsia="仿宋" w:cs="仿宋"/>
          <w:kern w:val="2"/>
          <w:sz w:val="28"/>
          <w:szCs w:val="28"/>
        </w:rPr>
        <w:t>体矿产勘查甲级、气体矿产勘查甲级、地质钻探甲级、地灾治理工程勘查甲级、地灾治理工程施工甲级、地质灾害危险性评估甲级、地灾治理工程设计甲级、地灾治理工程监理乙级、地基与基础工程专业承包贰级、工程测量乙级、地质实验测试乙级等各类资质证书。</w:t>
      </w:r>
    </w:p>
    <w:p w14:paraId="0A2784BD">
      <w:pPr>
        <w:widowControl/>
        <w:shd w:val="clear"/>
        <w:spacing w:line="600" w:lineRule="exact"/>
        <w:ind w:firstLine="630" w:firstLineChars="196"/>
        <w:rPr>
          <w:rFonts w:ascii="楷体_GB2312" w:eastAsia="楷体_GB2312"/>
          <w:b/>
          <w:sz w:val="32"/>
          <w:szCs w:val="32"/>
        </w:rPr>
      </w:pPr>
      <w:r>
        <w:rPr>
          <w:rFonts w:hint="eastAsia" w:ascii="楷体_GB2312" w:eastAsia="楷体_GB2312"/>
          <w:b/>
          <w:sz w:val="32"/>
          <w:szCs w:val="32"/>
        </w:rPr>
        <w:t>（二）机构设置</w:t>
      </w:r>
    </w:p>
    <w:p w14:paraId="020447EA">
      <w:pPr>
        <w:pStyle w:val="5"/>
        <w:widowControl/>
        <w:shd w:val="clear"/>
        <w:spacing w:before="0" w:beforeAutospacing="0" w:after="0" w:afterAutospacing="0"/>
        <w:ind w:firstLine="560" w:firstLineChars="200"/>
        <w:rPr>
          <w:rFonts w:ascii="仿宋" w:hAnsi="仿宋" w:eastAsia="仿宋" w:cs="仿宋"/>
          <w:kern w:val="2"/>
          <w:sz w:val="28"/>
          <w:szCs w:val="28"/>
        </w:rPr>
      </w:pPr>
      <w:r>
        <w:rPr>
          <w:rFonts w:ascii="仿宋" w:hAnsi="仿宋" w:eastAsia="仿宋" w:cs="仿宋"/>
          <w:kern w:val="2"/>
          <w:sz w:val="28"/>
          <w:szCs w:val="28"/>
        </w:rPr>
        <w:t>下设</w:t>
      </w:r>
      <w:r>
        <w:rPr>
          <w:rFonts w:hint="eastAsia" w:ascii="仿宋" w:hAnsi="仿宋" w:eastAsia="仿宋" w:cs="仿宋"/>
          <w:kern w:val="2"/>
          <w:sz w:val="28"/>
          <w:szCs w:val="28"/>
        </w:rPr>
        <w:t>3</w:t>
      </w:r>
      <w:r>
        <w:rPr>
          <w:rFonts w:ascii="仿宋" w:hAnsi="仿宋" w:eastAsia="仿宋" w:cs="仿宋"/>
          <w:kern w:val="2"/>
          <w:sz w:val="28"/>
          <w:szCs w:val="28"/>
        </w:rPr>
        <w:t>个二级</w:t>
      </w:r>
      <w:r>
        <w:rPr>
          <w:rFonts w:hint="eastAsia" w:ascii="仿宋" w:hAnsi="仿宋" w:eastAsia="仿宋" w:cs="仿宋"/>
          <w:kern w:val="2"/>
          <w:sz w:val="28"/>
          <w:szCs w:val="28"/>
        </w:rPr>
        <w:t>单位</w:t>
      </w:r>
      <w:r>
        <w:rPr>
          <w:rFonts w:ascii="仿宋" w:hAnsi="仿宋" w:eastAsia="仿宋" w:cs="仿宋"/>
          <w:kern w:val="2"/>
          <w:sz w:val="28"/>
          <w:szCs w:val="28"/>
        </w:rPr>
        <w:t>：</w:t>
      </w:r>
      <w:r>
        <w:rPr>
          <w:rFonts w:hint="eastAsia" w:ascii="仿宋" w:hAnsi="仿宋" w:eastAsia="仿宋" w:cs="仿宋"/>
          <w:kern w:val="2"/>
          <w:sz w:val="28"/>
          <w:szCs w:val="28"/>
        </w:rPr>
        <w:t>湖南省</w:t>
      </w:r>
      <w:r>
        <w:rPr>
          <w:rFonts w:ascii="仿宋" w:hAnsi="仿宋" w:eastAsia="仿宋" w:cs="仿宋"/>
          <w:kern w:val="2"/>
          <w:sz w:val="28"/>
          <w:szCs w:val="28"/>
        </w:rPr>
        <w:t>湘北地质工程勘察</w:t>
      </w:r>
      <w:r>
        <w:rPr>
          <w:rFonts w:hint="eastAsia" w:ascii="仿宋" w:hAnsi="仿宋" w:eastAsia="仿宋" w:cs="仿宋"/>
          <w:kern w:val="2"/>
          <w:sz w:val="28"/>
          <w:szCs w:val="28"/>
        </w:rPr>
        <w:t>有限责任公司</w:t>
      </w:r>
      <w:r>
        <w:rPr>
          <w:rFonts w:ascii="仿宋" w:hAnsi="仿宋" w:eastAsia="仿宋" w:cs="仿宋"/>
          <w:kern w:val="2"/>
          <w:sz w:val="28"/>
          <w:szCs w:val="28"/>
        </w:rPr>
        <w:t>、</w:t>
      </w:r>
      <w:r>
        <w:rPr>
          <w:rFonts w:hint="eastAsia" w:ascii="仿宋" w:hAnsi="仿宋" w:eastAsia="仿宋" w:cs="仿宋"/>
          <w:kern w:val="2"/>
          <w:sz w:val="28"/>
          <w:szCs w:val="28"/>
        </w:rPr>
        <w:t>湖南省</w:t>
      </w:r>
      <w:r>
        <w:rPr>
          <w:rFonts w:ascii="仿宋" w:hAnsi="仿宋" w:eastAsia="仿宋" w:cs="仿宋"/>
          <w:kern w:val="2"/>
          <w:sz w:val="28"/>
          <w:szCs w:val="28"/>
        </w:rPr>
        <w:t>湘北地质工程</w:t>
      </w:r>
      <w:r>
        <w:rPr>
          <w:rFonts w:hint="eastAsia" w:ascii="仿宋" w:hAnsi="仿宋" w:eastAsia="仿宋" w:cs="仿宋"/>
          <w:kern w:val="2"/>
          <w:sz w:val="28"/>
          <w:szCs w:val="28"/>
        </w:rPr>
        <w:t>有限责任公司</w:t>
      </w:r>
      <w:r>
        <w:rPr>
          <w:rFonts w:ascii="仿宋" w:hAnsi="仿宋" w:eastAsia="仿宋" w:cs="仿宋"/>
          <w:kern w:val="2"/>
          <w:sz w:val="28"/>
          <w:szCs w:val="28"/>
        </w:rPr>
        <w:t>、</w:t>
      </w:r>
      <w:r>
        <w:rPr>
          <w:rFonts w:hint="eastAsia" w:ascii="仿宋" w:hAnsi="仿宋" w:eastAsia="仿宋" w:cs="仿宋"/>
          <w:kern w:val="2"/>
          <w:sz w:val="28"/>
          <w:szCs w:val="28"/>
        </w:rPr>
        <w:t>湖南省地热资源勘查开发有限公司。湖南省地质矿产勘查开发局四0三队</w:t>
      </w:r>
      <w:r>
        <w:rPr>
          <w:rFonts w:ascii="仿宋" w:hAnsi="仿宋" w:eastAsia="仿宋" w:cs="仿宋"/>
          <w:kern w:val="2"/>
          <w:sz w:val="28"/>
          <w:szCs w:val="28"/>
        </w:rPr>
        <w:t>职工医院</w:t>
      </w:r>
      <w:r>
        <w:rPr>
          <w:rFonts w:hint="eastAsia" w:ascii="仿宋" w:hAnsi="仿宋" w:eastAsia="仿宋" w:cs="仿宋"/>
          <w:kern w:val="2"/>
          <w:sz w:val="28"/>
          <w:szCs w:val="28"/>
        </w:rPr>
        <w:t>于2021年撤销</w:t>
      </w:r>
      <w:r>
        <w:rPr>
          <w:rFonts w:ascii="仿宋" w:hAnsi="仿宋" w:eastAsia="仿宋" w:cs="仿宋"/>
          <w:kern w:val="2"/>
          <w:sz w:val="28"/>
          <w:szCs w:val="28"/>
        </w:rPr>
        <w:t>。</w:t>
      </w:r>
    </w:p>
    <w:p w14:paraId="71B46D94">
      <w:pPr>
        <w:widowControl/>
        <w:shd w:val="clear"/>
        <w:spacing w:line="600" w:lineRule="exact"/>
        <w:ind w:firstLine="630" w:firstLineChars="196"/>
        <w:rPr>
          <w:rFonts w:ascii="楷体_GB2312" w:eastAsia="楷体_GB2312"/>
          <w:b/>
          <w:sz w:val="32"/>
          <w:szCs w:val="32"/>
        </w:rPr>
      </w:pPr>
      <w:r>
        <w:rPr>
          <w:rFonts w:hint="eastAsia" w:ascii="楷体_GB2312" w:eastAsia="楷体_GB2312"/>
          <w:b/>
          <w:sz w:val="32"/>
          <w:szCs w:val="32"/>
        </w:rPr>
        <w:t>（三）人员情况</w:t>
      </w:r>
    </w:p>
    <w:p w14:paraId="24CAAC9B">
      <w:pPr>
        <w:pStyle w:val="5"/>
        <w:widowControl/>
        <w:shd w:val="clear"/>
        <w:spacing w:before="0" w:beforeAutospacing="0" w:after="0" w:afterAutospacing="0"/>
        <w:ind w:firstLine="560" w:firstLineChars="200"/>
        <w:rPr>
          <w:rFonts w:ascii="仿宋" w:hAnsi="仿宋" w:eastAsia="仿宋" w:cs="仿宋"/>
          <w:kern w:val="2"/>
          <w:sz w:val="28"/>
          <w:szCs w:val="28"/>
        </w:rPr>
      </w:pPr>
      <w:r>
        <w:rPr>
          <w:rFonts w:hint="eastAsia" w:ascii="仿宋" w:hAnsi="仿宋" w:eastAsia="仿宋" w:cs="仿宋"/>
          <w:kern w:val="2"/>
          <w:sz w:val="28"/>
          <w:szCs w:val="28"/>
        </w:rPr>
        <w:t>截止2021年12月31日，省编办核定我队总编制人数408人，全队</w:t>
      </w:r>
      <w:r>
        <w:rPr>
          <w:rFonts w:ascii="仿宋" w:hAnsi="仿宋" w:eastAsia="仿宋" w:cs="仿宋"/>
          <w:kern w:val="2"/>
          <w:sz w:val="28"/>
          <w:szCs w:val="28"/>
        </w:rPr>
        <w:t>现有在职职工</w:t>
      </w:r>
      <w:r>
        <w:rPr>
          <w:rFonts w:hint="eastAsia" w:ascii="仿宋" w:hAnsi="仿宋" w:eastAsia="仿宋" w:cs="仿宋"/>
          <w:kern w:val="2"/>
          <w:sz w:val="28"/>
          <w:szCs w:val="28"/>
        </w:rPr>
        <w:t>317</w:t>
      </w:r>
      <w:r>
        <w:rPr>
          <w:rFonts w:ascii="仿宋" w:hAnsi="仿宋" w:eastAsia="仿宋" w:cs="仿宋"/>
          <w:kern w:val="2"/>
          <w:sz w:val="28"/>
          <w:szCs w:val="28"/>
        </w:rPr>
        <w:t>人，其中各类技术人员及行政干部</w:t>
      </w:r>
      <w:r>
        <w:rPr>
          <w:rFonts w:hint="eastAsia" w:ascii="仿宋" w:hAnsi="仿宋" w:eastAsia="仿宋" w:cs="仿宋"/>
          <w:kern w:val="2"/>
          <w:sz w:val="28"/>
          <w:szCs w:val="28"/>
        </w:rPr>
        <w:t>160</w:t>
      </w:r>
      <w:r>
        <w:rPr>
          <w:rFonts w:ascii="仿宋" w:hAnsi="仿宋" w:eastAsia="仿宋" w:cs="仿宋"/>
          <w:kern w:val="2"/>
          <w:sz w:val="28"/>
          <w:szCs w:val="28"/>
        </w:rPr>
        <w:t>人。</w:t>
      </w:r>
    </w:p>
    <w:p w14:paraId="63FC2C50">
      <w:pPr>
        <w:widowControl/>
        <w:shd w:val="clear"/>
        <w:spacing w:line="600" w:lineRule="exact"/>
        <w:ind w:firstLine="640" w:firstLineChars="200"/>
        <w:rPr>
          <w:rFonts w:eastAsia="黑体"/>
          <w:sz w:val="32"/>
          <w:szCs w:val="32"/>
        </w:rPr>
      </w:pPr>
      <w:r>
        <w:rPr>
          <w:rFonts w:hint="eastAsia" w:eastAsia="黑体"/>
          <w:sz w:val="32"/>
          <w:szCs w:val="32"/>
        </w:rPr>
        <w:t>二、一般公共预算支出情况</w:t>
      </w:r>
    </w:p>
    <w:p w14:paraId="40A4793B">
      <w:pPr>
        <w:widowControl/>
        <w:shd w:val="clear"/>
        <w:spacing w:line="600" w:lineRule="exact"/>
        <w:ind w:firstLine="630" w:firstLineChars="196"/>
        <w:rPr>
          <w:rFonts w:ascii="楷体_GB2312" w:eastAsia="楷体_GB2312"/>
          <w:b/>
          <w:sz w:val="32"/>
          <w:szCs w:val="32"/>
        </w:rPr>
      </w:pPr>
      <w:r>
        <w:rPr>
          <w:rFonts w:hint="eastAsia" w:ascii="楷体_GB2312" w:eastAsia="楷体_GB2312"/>
          <w:b/>
          <w:sz w:val="32"/>
          <w:szCs w:val="32"/>
        </w:rPr>
        <w:t>（一）基本支出情况</w:t>
      </w:r>
    </w:p>
    <w:p w14:paraId="7D5E40FF">
      <w:pPr>
        <w:pStyle w:val="5"/>
        <w:widowControl/>
        <w:shd w:val="clear"/>
        <w:spacing w:before="0" w:beforeAutospacing="0" w:after="0" w:afterAutospacing="0"/>
        <w:ind w:firstLine="560" w:firstLineChars="200"/>
        <w:rPr>
          <w:rFonts w:ascii="仿宋" w:hAnsi="仿宋" w:eastAsia="仿宋" w:cs="仿宋"/>
          <w:kern w:val="2"/>
          <w:sz w:val="28"/>
          <w:szCs w:val="28"/>
        </w:rPr>
      </w:pPr>
      <w:r>
        <w:rPr>
          <w:rFonts w:hint="eastAsia" w:ascii="仿宋" w:hAnsi="仿宋" w:eastAsia="仿宋" w:cs="仿宋"/>
          <w:kern w:val="2"/>
          <w:sz w:val="28"/>
          <w:szCs w:val="28"/>
        </w:rPr>
        <w:t>2021年湖南省地勘局四0三队基本支出3145.25万元。</w:t>
      </w:r>
    </w:p>
    <w:p w14:paraId="3E2EECD4">
      <w:pPr>
        <w:pStyle w:val="5"/>
        <w:widowControl/>
        <w:shd w:val="clear"/>
        <w:spacing w:before="0" w:beforeAutospacing="0" w:after="0" w:afterAutospacing="0"/>
        <w:ind w:firstLine="560" w:firstLineChars="200"/>
        <w:rPr>
          <w:rFonts w:ascii="仿宋" w:hAnsi="仿宋" w:eastAsia="仿宋" w:cs="仿宋"/>
          <w:kern w:val="2"/>
          <w:sz w:val="28"/>
          <w:szCs w:val="28"/>
        </w:rPr>
      </w:pPr>
      <w:r>
        <w:rPr>
          <w:rFonts w:hint="eastAsia" w:ascii="仿宋" w:hAnsi="仿宋" w:eastAsia="仿宋" w:cs="仿宋"/>
          <w:kern w:val="2"/>
          <w:sz w:val="28"/>
          <w:szCs w:val="28"/>
        </w:rPr>
        <w:t>1.人员经费3094.25万元，占比达98.38%，其中工资福利支出2955.75万元，对个人和家庭补助138.5万元。</w:t>
      </w:r>
    </w:p>
    <w:p w14:paraId="4A03C5F2">
      <w:pPr>
        <w:pStyle w:val="5"/>
        <w:widowControl/>
        <w:shd w:val="clear"/>
        <w:spacing w:before="0" w:beforeAutospacing="0" w:after="0" w:afterAutospacing="0"/>
        <w:ind w:firstLine="560" w:firstLineChars="200"/>
        <w:rPr>
          <w:rFonts w:ascii="仿宋" w:hAnsi="仿宋" w:eastAsia="仿宋" w:cs="仿宋"/>
          <w:color w:val="0000FF"/>
          <w:kern w:val="2"/>
          <w:sz w:val="28"/>
          <w:szCs w:val="28"/>
        </w:rPr>
      </w:pPr>
      <w:r>
        <w:rPr>
          <w:rFonts w:hint="eastAsia" w:ascii="仿宋" w:hAnsi="仿宋" w:eastAsia="仿宋" w:cs="仿宋"/>
          <w:kern w:val="2"/>
          <w:sz w:val="28"/>
          <w:szCs w:val="28"/>
        </w:rPr>
        <w:t>2. 日常公用经费51万元，其中：物业管理费14万元、差旅费2万元、工会经费35万元。</w:t>
      </w:r>
    </w:p>
    <w:p w14:paraId="1BD11F79">
      <w:pPr>
        <w:widowControl/>
        <w:shd w:val="clear"/>
        <w:spacing w:line="600" w:lineRule="exact"/>
        <w:ind w:firstLine="630" w:firstLineChars="196"/>
        <w:rPr>
          <w:rFonts w:ascii="楷体_GB2312" w:eastAsia="楷体_GB2312"/>
          <w:b/>
          <w:sz w:val="32"/>
          <w:szCs w:val="32"/>
        </w:rPr>
      </w:pPr>
      <w:r>
        <w:rPr>
          <w:rFonts w:hint="eastAsia" w:ascii="楷体_GB2312" w:eastAsia="楷体_GB2312"/>
          <w:b/>
          <w:sz w:val="32"/>
          <w:szCs w:val="32"/>
        </w:rPr>
        <w:t>（二）项目支出情况</w:t>
      </w:r>
    </w:p>
    <w:p w14:paraId="29FEED1A">
      <w:pPr>
        <w:pStyle w:val="5"/>
        <w:widowControl/>
        <w:shd w:val="clear"/>
        <w:spacing w:before="0" w:beforeAutospacing="0" w:after="0" w:afterAutospacing="0"/>
        <w:ind w:firstLine="560" w:firstLineChars="200"/>
        <w:rPr>
          <w:rFonts w:ascii="仿宋" w:hAnsi="仿宋" w:eastAsia="仿宋" w:cs="仿宋"/>
          <w:kern w:val="2"/>
          <w:sz w:val="28"/>
          <w:szCs w:val="28"/>
        </w:rPr>
      </w:pPr>
      <w:r>
        <w:rPr>
          <w:rFonts w:hint="eastAsia" w:ascii="仿宋" w:hAnsi="仿宋" w:eastAsia="仿宋" w:cs="仿宋"/>
          <w:kern w:val="2"/>
          <w:sz w:val="28"/>
          <w:szCs w:val="28"/>
        </w:rPr>
        <w:t>一是湖南省地勘局四0三队不是省级专项资金设立主体，单位无省级专项资金。</w:t>
      </w:r>
    </w:p>
    <w:p w14:paraId="3D96D112">
      <w:pPr>
        <w:pStyle w:val="5"/>
        <w:widowControl/>
        <w:shd w:val="clear"/>
        <w:spacing w:before="0" w:beforeAutospacing="0" w:after="0" w:afterAutospacing="0"/>
        <w:ind w:firstLine="560" w:firstLineChars="200"/>
        <w:rPr>
          <w:rFonts w:ascii="仿宋" w:hAnsi="仿宋" w:eastAsia="仿宋" w:cs="仿宋"/>
          <w:kern w:val="2"/>
          <w:sz w:val="28"/>
          <w:szCs w:val="28"/>
        </w:rPr>
      </w:pPr>
      <w:r>
        <w:rPr>
          <w:rFonts w:hint="eastAsia" w:ascii="仿宋" w:hAnsi="仿宋" w:eastAsia="仿宋" w:cs="仿宋"/>
          <w:kern w:val="2"/>
          <w:sz w:val="28"/>
          <w:szCs w:val="28"/>
        </w:rPr>
        <w:t>二是除省级专项资金以外的其他项目支出情况。2021年我队项目收入共计994.73万元（含上年结转199.61万元），支出共计775.22万元，其中商品和服务支出741.08万元，主要是我队承接的各类地质、地灾项目发生的支出，包括自然资源调查与确权登记项目330万元，地质矿产资源与环境调查97.68万元，地质灾害防治项目309.2万元，资产清算专项4.2万；对个人和家庭的补助34.14万元，为生活补助支出，是按项目支出分类下达的职业病遗属补助专项2.14万元，老工伤一次性伤残补助金32万元。年末财政项目结转219.51万元。</w:t>
      </w:r>
    </w:p>
    <w:p w14:paraId="4B36C234">
      <w:pPr>
        <w:widowControl/>
        <w:shd w:val="clear"/>
        <w:spacing w:line="600" w:lineRule="exact"/>
        <w:ind w:firstLine="640" w:firstLineChars="200"/>
        <w:jc w:val="left"/>
        <w:rPr>
          <w:rFonts w:eastAsia="黑体"/>
          <w:sz w:val="32"/>
          <w:szCs w:val="32"/>
        </w:rPr>
      </w:pPr>
      <w:r>
        <w:rPr>
          <w:rFonts w:hint="eastAsia" w:eastAsia="黑体"/>
          <w:sz w:val="32"/>
          <w:szCs w:val="32"/>
        </w:rPr>
        <w:t>三、政府性基金预算支出情况</w:t>
      </w:r>
    </w:p>
    <w:p w14:paraId="6BE84E5E">
      <w:pPr>
        <w:pStyle w:val="5"/>
        <w:widowControl/>
        <w:shd w:val="clear"/>
        <w:spacing w:before="0" w:beforeAutospacing="0" w:after="0" w:afterAutospacing="0"/>
        <w:ind w:firstLine="560" w:firstLineChars="200"/>
        <w:rPr>
          <w:rFonts w:ascii="仿宋" w:hAnsi="仿宋" w:eastAsia="仿宋" w:cs="仿宋"/>
          <w:kern w:val="2"/>
          <w:sz w:val="28"/>
          <w:szCs w:val="28"/>
        </w:rPr>
      </w:pPr>
      <w:r>
        <w:rPr>
          <w:rFonts w:hint="eastAsia" w:ascii="仿宋" w:hAnsi="仿宋" w:eastAsia="仿宋" w:cs="仿宋"/>
          <w:kern w:val="2"/>
          <w:sz w:val="28"/>
          <w:szCs w:val="28"/>
        </w:rPr>
        <w:t>本单位无政府性基金预算支出。</w:t>
      </w:r>
    </w:p>
    <w:p w14:paraId="25211B5F">
      <w:pPr>
        <w:widowControl/>
        <w:shd w:val="clear"/>
        <w:spacing w:line="600" w:lineRule="exact"/>
        <w:ind w:firstLine="640" w:firstLineChars="200"/>
        <w:jc w:val="left"/>
        <w:rPr>
          <w:rFonts w:eastAsia="黑体"/>
          <w:sz w:val="32"/>
          <w:szCs w:val="32"/>
        </w:rPr>
      </w:pPr>
      <w:r>
        <w:rPr>
          <w:rFonts w:hint="eastAsia" w:eastAsia="黑体"/>
          <w:sz w:val="32"/>
          <w:szCs w:val="32"/>
        </w:rPr>
        <w:t>四、国有资本经营预算支出情况</w:t>
      </w:r>
    </w:p>
    <w:p w14:paraId="6FBBFC1D">
      <w:pPr>
        <w:pStyle w:val="5"/>
        <w:widowControl/>
        <w:shd w:val="clear"/>
        <w:spacing w:before="0" w:beforeAutospacing="0" w:after="0" w:afterAutospacing="0"/>
        <w:ind w:firstLine="560" w:firstLineChars="200"/>
        <w:rPr>
          <w:rFonts w:ascii="仿宋" w:hAnsi="仿宋" w:eastAsia="仿宋" w:cs="仿宋"/>
          <w:kern w:val="2"/>
          <w:sz w:val="28"/>
          <w:szCs w:val="28"/>
        </w:rPr>
      </w:pPr>
      <w:r>
        <w:rPr>
          <w:rFonts w:hint="eastAsia" w:ascii="仿宋" w:hAnsi="仿宋" w:eastAsia="仿宋" w:cs="仿宋"/>
          <w:kern w:val="2"/>
          <w:sz w:val="28"/>
          <w:szCs w:val="28"/>
        </w:rPr>
        <w:t>本单位无国有资本经营预算支出。</w:t>
      </w:r>
    </w:p>
    <w:p w14:paraId="76108DC9">
      <w:pPr>
        <w:widowControl/>
        <w:shd w:val="clear"/>
        <w:spacing w:line="600" w:lineRule="exact"/>
        <w:ind w:firstLine="640" w:firstLineChars="200"/>
        <w:jc w:val="left"/>
        <w:rPr>
          <w:rFonts w:eastAsia="黑体"/>
          <w:sz w:val="32"/>
          <w:szCs w:val="32"/>
        </w:rPr>
      </w:pPr>
      <w:r>
        <w:rPr>
          <w:rFonts w:hint="eastAsia" w:eastAsia="黑体"/>
          <w:sz w:val="32"/>
          <w:szCs w:val="32"/>
        </w:rPr>
        <w:t>五、社会保险基金预算支出情况</w:t>
      </w:r>
    </w:p>
    <w:p w14:paraId="226B62F4">
      <w:pPr>
        <w:pStyle w:val="5"/>
        <w:widowControl/>
        <w:shd w:val="clear"/>
        <w:spacing w:before="0" w:beforeAutospacing="0" w:after="0" w:afterAutospacing="0"/>
        <w:ind w:firstLine="560" w:firstLineChars="200"/>
        <w:rPr>
          <w:rFonts w:ascii="仿宋" w:hAnsi="仿宋" w:eastAsia="仿宋" w:cs="仿宋"/>
          <w:kern w:val="2"/>
          <w:sz w:val="28"/>
          <w:szCs w:val="28"/>
        </w:rPr>
      </w:pPr>
      <w:r>
        <w:rPr>
          <w:rFonts w:hint="eastAsia" w:ascii="仿宋" w:hAnsi="仿宋" w:eastAsia="仿宋" w:cs="仿宋"/>
          <w:kern w:val="2"/>
          <w:sz w:val="28"/>
          <w:szCs w:val="28"/>
        </w:rPr>
        <w:t>本单位无社会保险基金预算支出。</w:t>
      </w:r>
    </w:p>
    <w:p w14:paraId="0F172877">
      <w:pPr>
        <w:widowControl/>
        <w:shd w:val="clear"/>
        <w:spacing w:line="600" w:lineRule="exact"/>
        <w:ind w:firstLine="640" w:firstLineChars="200"/>
        <w:jc w:val="left"/>
        <w:rPr>
          <w:rFonts w:eastAsia="黑体"/>
          <w:sz w:val="32"/>
          <w:szCs w:val="32"/>
        </w:rPr>
      </w:pPr>
      <w:r>
        <w:rPr>
          <w:rFonts w:hint="eastAsia" w:eastAsia="黑体"/>
          <w:sz w:val="32"/>
          <w:szCs w:val="32"/>
        </w:rPr>
        <w:t>六、单位整体支出绩效情况</w:t>
      </w:r>
    </w:p>
    <w:p w14:paraId="1371508D">
      <w:pPr>
        <w:widowControl/>
        <w:shd w:val="clear"/>
        <w:spacing w:line="600" w:lineRule="exact"/>
        <w:ind w:firstLine="630" w:firstLineChars="196"/>
        <w:rPr>
          <w:rFonts w:ascii="楷体_GB2312" w:eastAsia="楷体_GB2312"/>
          <w:b/>
          <w:sz w:val="32"/>
          <w:szCs w:val="32"/>
        </w:rPr>
      </w:pPr>
      <w:r>
        <w:rPr>
          <w:rFonts w:hint="eastAsia" w:ascii="楷体_GB2312" w:eastAsia="楷体_GB2312"/>
          <w:b/>
          <w:sz w:val="32"/>
          <w:szCs w:val="32"/>
        </w:rPr>
        <w:t>（一）单位整体收支情况</w:t>
      </w:r>
    </w:p>
    <w:p w14:paraId="1C173EED">
      <w:pPr>
        <w:pStyle w:val="5"/>
        <w:widowControl/>
        <w:shd w:val="clear"/>
        <w:spacing w:before="0" w:beforeAutospacing="0" w:after="0" w:afterAutospacing="0"/>
        <w:ind w:firstLine="560" w:firstLineChars="200"/>
        <w:rPr>
          <w:rFonts w:ascii="仿宋" w:hAnsi="仿宋" w:eastAsia="仿宋" w:cs="仿宋"/>
          <w:kern w:val="2"/>
          <w:sz w:val="28"/>
          <w:szCs w:val="28"/>
        </w:rPr>
      </w:pPr>
      <w:r>
        <w:rPr>
          <w:rFonts w:hint="eastAsia" w:ascii="仿宋" w:hAnsi="仿宋" w:eastAsia="仿宋" w:cs="仿宋"/>
          <w:kern w:val="2"/>
          <w:sz w:val="28"/>
          <w:szCs w:val="28"/>
        </w:rPr>
        <w:t>2021年我队年初结余结转199.61万元，全部为项目支出结转和结余。全年总收入8561.28万元，其中一般公共预算财政拨款3940.37万元（基本经费拨款3145.25万元，项目经费拨款795.12万元），经营收入4710.91万元；本年支出合计8431.02万元，其中基本支出3145.25万元，项目支出775.22（含上年财政项目结余结转支出199.61）万元，经营支出4510.55万元，结余分配200.36万元，年末结余和结转219.51万元，本年预算执行率达94.43%。2021年无新建楼堂馆所项目发生。</w:t>
      </w:r>
    </w:p>
    <w:p w14:paraId="1ADFFC98">
      <w:pPr>
        <w:widowControl/>
        <w:shd w:val="clear"/>
        <w:spacing w:line="600" w:lineRule="exact"/>
        <w:ind w:firstLine="630" w:firstLineChars="196"/>
        <w:rPr>
          <w:rFonts w:ascii="楷体_GB2312" w:eastAsia="楷体_GB2312"/>
          <w:b/>
          <w:sz w:val="32"/>
          <w:szCs w:val="32"/>
        </w:rPr>
      </w:pPr>
      <w:r>
        <w:rPr>
          <w:rFonts w:hint="eastAsia" w:ascii="楷体_GB2312" w:eastAsia="楷体_GB2312"/>
          <w:b/>
          <w:sz w:val="32"/>
          <w:szCs w:val="32"/>
        </w:rPr>
        <w:t>（二）年末结转和结余情况</w:t>
      </w:r>
    </w:p>
    <w:p w14:paraId="4541A8A4">
      <w:pPr>
        <w:pStyle w:val="5"/>
        <w:widowControl/>
        <w:shd w:val="clear"/>
        <w:spacing w:before="0" w:beforeAutospacing="0" w:after="0" w:afterAutospacing="0"/>
        <w:ind w:firstLine="560" w:firstLineChars="200"/>
        <w:rPr>
          <w:rFonts w:ascii="仿宋" w:hAnsi="仿宋" w:eastAsia="仿宋" w:cs="仿宋"/>
          <w:kern w:val="2"/>
          <w:sz w:val="28"/>
          <w:szCs w:val="28"/>
        </w:rPr>
      </w:pPr>
      <w:r>
        <w:rPr>
          <w:rFonts w:hint="eastAsia" w:ascii="仿宋" w:hAnsi="仿宋" w:eastAsia="仿宋" w:cs="仿宋"/>
          <w:kern w:val="2"/>
          <w:sz w:val="28"/>
          <w:szCs w:val="28"/>
        </w:rPr>
        <w:t>年末财政拨款结转和结余共计219.51万元，其中地质矿产资源与环境调查结转29.1万元(常德市辖区、鼎城区、石门县、澧县、临澧县、桃源县6县调查),</w:t>
      </w:r>
      <w:r>
        <w:rPr>
          <w:rFonts w:ascii="仿宋" w:hAnsi="仿宋" w:eastAsia="仿宋" w:cs="仿宋"/>
          <w:kern w:val="2"/>
          <w:sz w:val="28"/>
          <w:szCs w:val="28"/>
        </w:rPr>
        <w:t>提前下达2021年自然灾害防治体系建设补助资金预算（第一批）</w:t>
      </w:r>
      <w:r>
        <w:rPr>
          <w:rFonts w:hint="eastAsia" w:ascii="仿宋" w:hAnsi="仿宋" w:eastAsia="仿宋" w:cs="仿宋"/>
          <w:kern w:val="2"/>
          <w:sz w:val="28"/>
          <w:szCs w:val="28"/>
        </w:rPr>
        <w:t>结转175.32万元。</w:t>
      </w:r>
    </w:p>
    <w:p w14:paraId="79F92C23">
      <w:pPr>
        <w:widowControl/>
        <w:shd w:val="clear"/>
        <w:spacing w:line="600" w:lineRule="exact"/>
        <w:ind w:firstLine="630" w:firstLineChars="196"/>
        <w:rPr>
          <w:rFonts w:ascii="楷体_GB2312" w:eastAsia="楷体_GB2312"/>
          <w:b/>
          <w:sz w:val="32"/>
          <w:szCs w:val="32"/>
        </w:rPr>
      </w:pPr>
      <w:r>
        <w:rPr>
          <w:rFonts w:hint="eastAsia" w:ascii="楷体_GB2312" w:eastAsia="楷体_GB2312"/>
          <w:b/>
          <w:sz w:val="32"/>
          <w:szCs w:val="32"/>
        </w:rPr>
        <w:t>（三）一般性支出压减情况</w:t>
      </w:r>
    </w:p>
    <w:p w14:paraId="7FC3E29D">
      <w:pPr>
        <w:pStyle w:val="5"/>
        <w:widowControl/>
        <w:shd w:val="clear"/>
        <w:spacing w:before="0" w:beforeAutospacing="0" w:after="0" w:afterAutospacing="0"/>
        <w:ind w:firstLine="560" w:firstLineChars="200"/>
        <w:rPr>
          <w:rFonts w:ascii="仿宋" w:hAnsi="仿宋" w:eastAsia="仿宋" w:cs="仿宋"/>
          <w:kern w:val="2"/>
          <w:sz w:val="28"/>
          <w:szCs w:val="28"/>
        </w:rPr>
      </w:pPr>
      <w:r>
        <w:rPr>
          <w:rFonts w:hint="eastAsia" w:ascii="仿宋" w:hAnsi="仿宋" w:eastAsia="仿宋" w:cs="仿宋"/>
          <w:kern w:val="2"/>
          <w:sz w:val="28"/>
          <w:szCs w:val="28"/>
        </w:rPr>
        <w:t>我队严格落实省院相关规定，厉行节约，进一步规范各项经费使用管理，在确保人员经费、刚性支出、民生项目资金不压减的前提下，有效减少了公用经费的支出，2021年共压减一般性支出5.98万元。</w:t>
      </w:r>
    </w:p>
    <w:p w14:paraId="72344116">
      <w:pPr>
        <w:widowControl/>
        <w:shd w:val="clear"/>
        <w:spacing w:line="600" w:lineRule="exact"/>
        <w:ind w:firstLine="630" w:firstLineChars="196"/>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（四）产出和效益情况</w:t>
      </w:r>
    </w:p>
    <w:p w14:paraId="70B97534">
      <w:pPr>
        <w:widowControl/>
        <w:shd w:val="clear"/>
        <w:spacing w:line="600" w:lineRule="exact"/>
        <w:ind w:firstLine="551" w:firstLineChars="196"/>
        <w:rPr>
          <w:rFonts w:ascii="仿宋" w:hAnsi="仿宋" w:eastAsia="仿宋" w:cs="仿宋"/>
          <w:b/>
          <w:sz w:val="28"/>
          <w:szCs w:val="28"/>
        </w:rPr>
      </w:pPr>
      <w:r>
        <w:rPr>
          <w:rFonts w:hint="eastAsia" w:ascii="仿宋" w:hAnsi="仿宋" w:eastAsia="仿宋" w:cs="仿宋"/>
          <w:b/>
          <w:sz w:val="28"/>
          <w:szCs w:val="28"/>
        </w:rPr>
        <w:t>1、</w:t>
      </w:r>
      <w:r>
        <w:rPr>
          <w:rFonts w:hint="eastAsia" w:ascii="楷体_GB2312" w:hAnsi="宋体" w:eastAsia="楷体_GB2312" w:cs="Times New Roman"/>
          <w:b/>
          <w:sz w:val="30"/>
          <w:szCs w:val="30"/>
        </w:rPr>
        <w:t>强化政治引领，推进党史学习教育</w:t>
      </w:r>
    </w:p>
    <w:p w14:paraId="167ED8A1">
      <w:pPr>
        <w:shd w:val="clea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队党委召开了党史学习教育部署会，明确了党委党史学习教育主体责任，成立了党史学习教育领导小组。队党委班子成员以普通党员身份参加所在支部的“三会一课”及主题党日活动，并分别讲授党课。结合建党一百周年活动和本地红色教育资源，开展了多样化活动。开展了“党在我心中”主题征文书法、摄影、美术作品征集活动；七一前夕，队党委委员分别带队对全队党龄50年及以上的老党员、生活困难党员以及老干部遗属共计43人进行了走访慰问；赴桃源县浯溪河村开展了党史学习第一主题“学史增信”实地研学；赴韶山毛泽东故居开展了党史学习教育第四主题“学史力行”现场研学，党委书记张健现场讲授了专题党课；开展了“学党史 知党恩 跟党走”党史知识竞赛；积极参与省院组织的党史知识竞赛及“党史学习天天练”线上答题活动；通过“湘北地质”微信公众号推出了党史天天读系列专题及党史学习心得体会；组织党员观看了爱国电影《长津湖》；完成了省委巡视问题的整改和“两个专项整治”发现问题的整改工作；开展了“我为职工办实事”活动，列出了办实事清单，并已全面完成，把党史学习教育转化成为职工办实事的实际行动，实现党史学习教育全覆盖。</w:t>
      </w:r>
    </w:p>
    <w:p w14:paraId="42397D7B">
      <w:pPr>
        <w:widowControl/>
        <w:shd w:val="clear"/>
        <w:spacing w:line="600" w:lineRule="exact"/>
        <w:ind w:firstLine="562" w:firstLineChars="200"/>
        <w:rPr>
          <w:rFonts w:ascii="仿宋" w:hAnsi="仿宋" w:eastAsia="仿宋" w:cs="仿宋"/>
          <w:b/>
          <w:sz w:val="28"/>
          <w:szCs w:val="28"/>
        </w:rPr>
      </w:pPr>
      <w:r>
        <w:rPr>
          <w:rFonts w:hint="eastAsia" w:ascii="仿宋" w:hAnsi="仿宋" w:eastAsia="仿宋" w:cs="仿宋"/>
          <w:b/>
          <w:sz w:val="28"/>
          <w:szCs w:val="28"/>
        </w:rPr>
        <w:t>2、</w:t>
      </w:r>
      <w:r>
        <w:rPr>
          <w:rFonts w:hint="eastAsia" w:ascii="楷体_GB2312" w:hAnsi="宋体" w:eastAsia="楷体_GB2312" w:cs="Times New Roman"/>
          <w:b/>
          <w:sz w:val="30"/>
          <w:szCs w:val="30"/>
        </w:rPr>
        <w:t>切实保障改善民生，确保队伍和谐稳定</w:t>
      </w:r>
    </w:p>
    <w:p w14:paraId="63DC868D">
      <w:pPr>
        <w:shd w:val="clea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坚持以人民为中心的发展思想，采取有效措施，提高上岗就业率，确保不新增加待岗职工；用好用活事业单位绩效工资政策，保障职工收入与地勘经济发展同步增长；继续抓好两个基地的维护改造，对石门基地幼儿园屋顶进行了修缮，积极对接老旧小区改造，政府出资500余万，队配套出资200万，切实改善职工生活居住环境，12月底可全面完成老旧小区改造工作；运用多种载体，加强社会主义核心价值观教育，弘扬和践行“诚信敬业、坚忍奉献、和谐奋进、创新图强”的四0三核心价值理念；积极开展职工气排球比赛、重阳趣味运动会、健步行等各种形式的文化体育活动，增强广大干部职工的集体荣誉感和归属感，持续推进文明单位创建工作，积极开展各类志愿服务活动，切实提高干部职工的文明环境和社会责任；做好了改革的正面宣传、正确引导，确保了地勘经济稳步发展和队伍稳定大局。</w:t>
      </w:r>
    </w:p>
    <w:p w14:paraId="60C5E34D">
      <w:pPr>
        <w:shd w:val="clear"/>
        <w:spacing w:line="360" w:lineRule="auto"/>
        <w:ind w:firstLine="645"/>
        <w:rPr>
          <w:rFonts w:ascii="仿宋" w:hAnsi="仿宋" w:eastAsia="仿宋" w:cs="仿宋"/>
          <w:b/>
          <w:bCs/>
          <w:sz w:val="28"/>
          <w:szCs w:val="28"/>
        </w:rPr>
      </w:pPr>
      <w:r>
        <w:rPr>
          <w:rFonts w:hint="eastAsia" w:ascii="仿宋" w:hAnsi="仿宋" w:eastAsia="仿宋" w:cs="仿宋"/>
          <w:b/>
          <w:bCs/>
          <w:sz w:val="28"/>
          <w:szCs w:val="28"/>
        </w:rPr>
        <w:t>3、</w:t>
      </w:r>
      <w:r>
        <w:rPr>
          <w:rFonts w:hint="eastAsia" w:ascii="楷体_GB2312" w:hAnsi="宋体" w:eastAsia="楷体_GB2312"/>
          <w:b/>
          <w:sz w:val="30"/>
          <w:szCs w:val="30"/>
        </w:rPr>
        <w:t>压实主体责任，安全生产形势保持平稳。</w:t>
      </w:r>
      <w:r>
        <w:rPr>
          <w:rFonts w:hint="eastAsia" w:ascii="仿宋" w:hAnsi="仿宋" w:eastAsia="仿宋" w:cs="仿宋"/>
          <w:sz w:val="28"/>
          <w:szCs w:val="28"/>
        </w:rPr>
        <w:t>下发了《四0三队2021年安全生产工作要点》，与二级单位签订了年度安全生产目标管理责任书和综治目标管理责任书，队安委会与职工签订了年度安全生产承诺书240份；通过湘北地质微信平台推发安全知识18条；举办了专题讲座2次（消防和应急管理安全）；队领导带队项目检查12次，查处和整改安全隐患8处；组织职工242人进行了“安康杯”知识竞赛；组织进行了2021年度安全及应急知识竞赛；队自筹资金对石门基地学校原幼儿园二楼楼顶进行了加固维修改造，消除了安全隐患；常德基地更换了不合格灭火器，对消防控制室进行了维护；加强了重大安全隐患整改，对检测中心发现的存量较大的危化品氰化钠进行了妥善移交处置；制订、修订下发了《四0三队安全生产“一会三卡”制度》、《四0三队安全生产费用使用管理制度》、《四0三队安全生产隐患排查整改制度》、《四0三队安全风险评估与控制管理制度》等多个制度，使安全生产工作有章可循；开展了疫苗接种大排查，截止目前全队疫苗接种率已达92％，其中加强针疫苗接种人数超30人；开展了平安建设工作培训，利用湘北地质公众号、宣传栏开展了全民国家安全教育日知识、《宪法》、《测绘法》、《安全生产法》、《消防法》、《道路交通安全法》、《中华人民共和国保守国家秘密法》、《626禁毒日》、《119消防宣传日》等法制知识宣传；以完善打、防、控、管一体化工作为抓手，深入开展了各</w:t>
      </w:r>
      <w:bookmarkStart w:id="2" w:name="_GoBack"/>
      <w:bookmarkEnd w:id="2"/>
      <w:r>
        <w:rPr>
          <w:rFonts w:hint="eastAsia" w:ascii="仿宋" w:hAnsi="仿宋" w:eastAsia="仿宋" w:cs="仿宋"/>
          <w:sz w:val="28"/>
          <w:szCs w:val="28"/>
        </w:rPr>
        <w:t>类平安创建活动，形成了共建共享的平安建设工作格局。</w:t>
      </w:r>
    </w:p>
    <w:p w14:paraId="049EC3B9">
      <w:pPr>
        <w:widowControl/>
        <w:shd w:val="clear"/>
        <w:spacing w:line="600" w:lineRule="exact"/>
        <w:ind w:firstLine="551" w:firstLineChars="196"/>
        <w:rPr>
          <w:rFonts w:ascii="仿宋" w:hAnsi="仿宋" w:eastAsia="仿宋" w:cs="仿宋"/>
          <w:b/>
          <w:sz w:val="28"/>
          <w:szCs w:val="28"/>
        </w:rPr>
      </w:pPr>
      <w:r>
        <w:rPr>
          <w:rFonts w:hint="eastAsia" w:ascii="仿宋" w:hAnsi="仿宋" w:eastAsia="仿宋" w:cs="仿宋"/>
          <w:b/>
          <w:sz w:val="28"/>
          <w:szCs w:val="28"/>
        </w:rPr>
        <w:t>4、</w:t>
      </w:r>
      <w:r>
        <w:rPr>
          <w:rFonts w:hint="eastAsia" w:ascii="楷体_GB2312" w:hAnsi="宋体" w:eastAsia="楷体_GB2312"/>
          <w:b/>
          <w:sz w:val="30"/>
          <w:szCs w:val="30"/>
        </w:rPr>
        <w:t>聚焦主责主业，推动高质量发展</w:t>
      </w:r>
    </w:p>
    <w:p w14:paraId="32EB6FE5">
      <w:pPr>
        <w:widowControl/>
        <w:shd w:val="clear"/>
        <w:spacing w:line="270" w:lineRule="atLeast"/>
        <w:ind w:firstLine="562" w:firstLineChars="200"/>
        <w:rPr>
          <w:rFonts w:ascii="仿宋" w:hAnsi="仿宋" w:eastAsia="仿宋" w:cs="仿宋"/>
          <w:sz w:val="28"/>
          <w:szCs w:val="28"/>
        </w:rPr>
      </w:pPr>
      <w:r>
        <w:rPr>
          <w:rFonts w:hint="eastAsia" w:ascii="仿宋" w:hAnsi="仿宋" w:eastAsia="仿宋" w:cs="仿宋"/>
          <w:b/>
          <w:sz w:val="28"/>
          <w:szCs w:val="28"/>
        </w:rPr>
        <w:t>（1）</w:t>
      </w:r>
      <w:r>
        <w:rPr>
          <w:rFonts w:hint="eastAsia" w:ascii="楷体_GB2312" w:hAnsi="宋体" w:eastAsia="楷体_GB2312" w:cs="Times New Roman"/>
          <w:b/>
          <w:sz w:val="28"/>
          <w:szCs w:val="28"/>
        </w:rPr>
        <w:t>主动融入大局大势，优势领域联动发展并取得突破</w:t>
      </w:r>
      <w:r>
        <w:rPr>
          <w:rFonts w:hint="eastAsia" w:ascii="仿宋" w:hAnsi="仿宋" w:eastAsia="仿宋" w:cs="仿宋"/>
          <w:b/>
          <w:sz w:val="28"/>
          <w:szCs w:val="28"/>
        </w:rPr>
        <w:t>。</w:t>
      </w:r>
      <w:r>
        <w:rPr>
          <w:rFonts w:hint="eastAsia" w:ascii="仿宋" w:hAnsi="仿宋" w:eastAsia="仿宋" w:cs="仿宋"/>
          <w:sz w:val="28"/>
          <w:szCs w:val="28"/>
        </w:rPr>
        <w:t>积极响应国家绿色、环保、生态发展理念和建设资源型城市创新发展的战略需求，在自然资源国情调查、绿色矿山建设、矿产资源规划等方面迈出坚实步伐。一是以为市县区城市地质服务及城市建设做好支撑为突破点，加强了新能源新材料勘查开发利用。积极争取并精心做好了砂石骨料、滑石、石灰岩、重晶石、方解石、建筑石材等非金属矿勘查业务；完成了湖南临澧南方新材料科技有限公司的临澧县胡家湾水泥用灰岩、叶家湾矿区水泥配料用砂岩矿详查、常德市普通建筑用砂石土矿专项清查及泸溪砂石专项规划等项目；完成了临澧石门桃源及慈利县白岩寺、樟树垭、中午通、羊子垭、甘溪等矿区勘查野外验收，待核查后评审，其中太平寺（9922万吨、大型）、谭家垭（2458万吨、中型）矿区勘查报告已完成省厅评审备案；通过了慈利县、临澧县、澧县砂石矿等专项规划的联合会审。二是认真做好了国情调查项目。全面完成了桃源县、澧县、临澧、汉寿县、石门、鼎城等6县矿产资源国情调查财政项目，完成了各区县107个矿区报告验收，并已初步提交了全部矿区数据库；基本完成了慈利县历史遗留矿山图斑核查任务。三是精心谋划，积极参与服务地方政府招商引资项目、绿色矿山建设、矿山恢复治理及生态修复等方面的业务，争取了《常德市生态修复专项规划》及后续相关业务。四是为地方政府的矿政管理和矿山企业提供地质技术服务。为常德周边矿山企业在储量年报编制、资源量核实、矿山生态保护修复、矿山地质环境恢复治理及土地复垦方案等方面作出了突出贡献。初步完成了常德市矿产资源总体规划成果，承接了常德市“十四五”矿产资源规划编制正按省厅项目进度要求，编制工作进展良好。</w:t>
      </w:r>
    </w:p>
    <w:p w14:paraId="65F7F372">
      <w:pPr>
        <w:shd w:val="clear"/>
        <w:spacing w:line="360" w:lineRule="auto"/>
        <w:ind w:firstLine="562" w:firstLineChars="200"/>
        <w:rPr>
          <w:rFonts w:ascii="仿宋" w:hAnsi="仿宋" w:eastAsia="仿宋" w:cs="仿宋"/>
          <w:sz w:val="28"/>
          <w:szCs w:val="28"/>
        </w:rPr>
      </w:pPr>
      <w:r>
        <w:rPr>
          <w:rFonts w:hint="eastAsia" w:ascii="楷体" w:hAnsi="楷体" w:eastAsia="楷体" w:cs="楷体"/>
          <w:b/>
          <w:sz w:val="28"/>
          <w:szCs w:val="28"/>
        </w:rPr>
        <w:t>（2）</w:t>
      </w:r>
      <w:r>
        <w:rPr>
          <w:rFonts w:hint="eastAsia" w:ascii="楷体_GB2312" w:hAnsi="宋体" w:eastAsia="楷体_GB2312" w:cs="Times New Roman"/>
          <w:b/>
          <w:sz w:val="28"/>
          <w:szCs w:val="28"/>
        </w:rPr>
        <w:t>力行防灾减灾使命，为地方经济发展保驾护航。</w:t>
      </w:r>
      <w:r>
        <w:rPr>
          <w:rFonts w:hint="eastAsia" w:ascii="仿宋" w:hAnsi="仿宋" w:eastAsia="仿宋" w:cs="仿宋"/>
          <w:sz w:val="28"/>
          <w:szCs w:val="28"/>
        </w:rPr>
        <w:t>我队是常德市、石门县、汉寿、鼎城区、临澧县、津市市、慈利县、泸溪县、安乡县、柳叶湖旅游度假管委会、常德市高新区等11个县市区的“地质灾害防治技术指导中心”的技术支撑单位。按照做优中心城区、做强县城的发展思路，制定了四0三队防汛及地灾应急预案，配合市、县自然资源局开展了值班值守、巡排查、应急处置、防治规划等工作；截止目前，全队共派出技术员、专家等420余人次参与地质灾害监测预警、值班值守、巡查排查、应急调查和应急处置等工作，派出车辆421余车次，里程42309㎞，巡排查地质灾害点隐患点461个，无人机飞行168航次，应急调查81次、应急监测28处，协助应急处置18处，协助紧急转移群众59人，避免财产损失31159万元，25人参与汛期同步值班值守，协助地方政府组织地灾防治培训9场次、人员1600余人，组织地灾演练6次194人。我队慈利县“7·8”滑坡避险、石门县“7·6”滑坡作为湖南省唯二两个案例入选自然资源部公布的2020年度全国地质灾害成功避险十大案例之中，提升了单位知名度和影响力；编写并提交了《石门县地质灾害防治专项规划》；送审了石门县白云集镇地质灾害勘查、慈利县杉木桥集镇地质灾害勘查、石门县蒙泉镇天子岗村地面变形地质灾害补充勘查等成果报告</w:t>
      </w:r>
      <w:bookmarkStart w:id="1" w:name="_Hlk44188448"/>
      <w:r>
        <w:rPr>
          <w:rFonts w:hint="eastAsia" w:ascii="仿宋" w:hAnsi="仿宋" w:eastAsia="仿宋" w:cs="仿宋"/>
          <w:sz w:val="28"/>
          <w:szCs w:val="28"/>
        </w:rPr>
        <w:t>，其中石门县白云集镇地质灾害勘查野外工作验收优秀；完成了石门县自然灾害风险普查</w:t>
      </w:r>
      <w:bookmarkEnd w:id="1"/>
      <w:r>
        <w:rPr>
          <w:rFonts w:hint="eastAsia" w:ascii="仿宋" w:hAnsi="仿宋" w:eastAsia="仿宋" w:cs="仿宋"/>
          <w:sz w:val="28"/>
          <w:szCs w:val="28"/>
        </w:rPr>
        <w:t>成果报告，并分别通过了市局、省厅评审；完成了临澧县、鼎城区和泸溪县地质灾害变更调查野外验收和数据库验收；石门县集镇地质灾害勘查正在开展钻探及山地工程；开展了桃源、鼎城、泸溪等区县1:1万地质灾害调查和风险评价；卫星遥感监测—常德市图斑外业核查与野外资料整理项目，已完成工作量约240万；与常德市应急管理局加强了联系和沟通，目前常德市地震与地质灾害应急救援指挥中心会商平台建设已初步建立完成。</w:t>
      </w:r>
    </w:p>
    <w:p w14:paraId="36166540">
      <w:pPr>
        <w:shd w:val="clear"/>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（3）</w:t>
      </w:r>
      <w:r>
        <w:rPr>
          <w:rFonts w:hint="eastAsia" w:ascii="楷体_GB2312" w:hAnsi="宋体" w:eastAsia="楷体_GB2312" w:cs="Times New Roman"/>
          <w:b/>
          <w:sz w:val="28"/>
          <w:szCs w:val="28"/>
        </w:rPr>
        <w:t>践行绿色发展理念，绿色矿山及生态修复业务范围进一步拓宽。</w:t>
      </w:r>
      <w:r>
        <w:rPr>
          <w:rFonts w:hint="eastAsia" w:ascii="仿宋" w:hAnsi="仿宋" w:eastAsia="仿宋" w:cs="仿宋"/>
          <w:sz w:val="28"/>
          <w:szCs w:val="28"/>
        </w:rPr>
        <w:t>一是着力项目提质，承接并做好了绿色矿山第三方评估、绿色矿山建设方案编制、省级矿山建设自评报告等业务。首次承接的石门县丰石矿业发展有限公司枫箱坡滑石矿绿色矿山建设工程施工任务全部完工；承接的生态修复项目“石门县金瑞泰煤矿污水处理厂改建及运行技术服务”正按计划正常运行。二是积极对接生态环境修复项目。编写并提交了《石门县生态修复专项规划》；鼎城区石板滩镇石煤矿区生态环境修复项目野外施工已完成预验收。</w:t>
      </w:r>
    </w:p>
    <w:p w14:paraId="49165E06">
      <w:pPr>
        <w:shd w:val="clea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（4）</w:t>
      </w:r>
      <w:r>
        <w:rPr>
          <w:rFonts w:hint="eastAsia" w:ascii="楷体_GB2312" w:hAnsi="宋体" w:eastAsia="楷体_GB2312" w:cs="Times New Roman"/>
          <w:b/>
          <w:sz w:val="28"/>
          <w:szCs w:val="28"/>
        </w:rPr>
        <w:t>多措并举稳增长，大地质技术服务及工程施工业经济运行态势回稳向好。</w:t>
      </w:r>
      <w:r>
        <w:rPr>
          <w:rFonts w:hint="eastAsia" w:ascii="仿宋" w:hAnsi="仿宋" w:eastAsia="仿宋" w:cs="仿宋"/>
          <w:sz w:val="28"/>
          <w:szCs w:val="28"/>
        </w:rPr>
        <w:t>积极应对疫情对工程施工市场的冲击，逐步推动地灾产业共链长足发展。完成了澧县甘溪滩镇第八中学不稳定斜坡地灾治理项目；云南省临沧市云县爱华镇大帮卡滑坡泥石流治理工程已完成施工工程量90％。石门县雁池乡五通庙村胡家坡、偏岩板、李家湾滑坡治理项目已完成野外工作。桃花源旅游管理区金盘村伏图山滑坡治理工程已开工。完成了系列风电场地勘察、光伏发电场地勘察、生活垃圾焚烧发电厂勘察等市政工程项目；完成广清高铁、广佛高际补勘、珠海至肇庆高铁等铁路勘察项目；石门至桃源高速公路初勘项目及沪渝蓉高铁合肥至武汉段隧道深孔定测施工项目仍在紧张进行中。完成了系列高标准农田建设地形测量，黑臭水治理工程测绘，村镇数字化地形测量，市政工程道路地形及断面测量，输变电工程测量，沉降观测等项目；续作的石门夹山镇、桃源县农村宅基地和集体建设用地一体确权登记项目有序进行中。续作的澧县新化工采卤井维修项目进展顺利。</w:t>
      </w:r>
    </w:p>
    <w:p w14:paraId="680CE96E">
      <w:pPr>
        <w:pStyle w:val="5"/>
        <w:shd w:val="clear"/>
        <w:spacing w:before="0" w:beforeAutospacing="0" w:after="0" w:afterAutospacing="0" w:line="360" w:lineRule="auto"/>
        <w:ind w:firstLine="562" w:firstLineChars="200"/>
        <w:jc w:val="both"/>
        <w:rPr>
          <w:rFonts w:ascii="仿宋" w:hAnsi="仿宋" w:eastAsia="仿宋" w:cs="仿宋"/>
          <w:kern w:val="2"/>
          <w:sz w:val="28"/>
          <w:szCs w:val="28"/>
        </w:rPr>
      </w:pPr>
      <w:r>
        <w:rPr>
          <w:rFonts w:hint="eastAsia" w:ascii="仿宋" w:hAnsi="仿宋" w:eastAsia="仿宋" w:cs="仿宋"/>
          <w:b/>
          <w:bCs/>
          <w:kern w:val="2"/>
          <w:sz w:val="28"/>
          <w:szCs w:val="28"/>
        </w:rPr>
        <w:t>（5）</w:t>
      </w:r>
      <w:r>
        <w:rPr>
          <w:rFonts w:hint="eastAsia" w:ascii="楷体_GB2312" w:hAnsi="宋体" w:eastAsia="楷体_GB2312"/>
          <w:b/>
          <w:kern w:val="2"/>
          <w:sz w:val="30"/>
          <w:szCs w:val="30"/>
        </w:rPr>
        <w:t>进一步完善制度，防控各类风险，内部管理持续提升。</w:t>
      </w:r>
      <w:r>
        <w:rPr>
          <w:rFonts w:hint="eastAsia" w:ascii="仿宋" w:hAnsi="仿宋" w:eastAsia="仿宋" w:cs="仿宋"/>
          <w:kern w:val="2"/>
          <w:sz w:val="28"/>
          <w:szCs w:val="28"/>
        </w:rPr>
        <w:t>修订和完善了队《公务接待管理办法》、《商务接待管理办法》、《差旅费管理规定》、《公车使用管理办法》、《门卫管理制度》、《来信来访登记制度》、《矛盾纠纷排查及处置制度》、《消防安全管理规定》、《网络舆情监控制度》等10项管理制度，进一步规范财务管理工作，严控非生产性开支，加强成本分析控制，挖掘经济效益潜力；完成了省委巡视整改工作；加强了应收、可收账款催收，召开了队应收账款清收调度会；开展了质量管理技术及保密知识培训，强化了项目管理人员责任意识和全员保密意识；为机要室、档案室增添了收件密码箱、监控报警器、灭火器、监控摄像头等设施设备，保密软硬件设施进一步完善；完成了人事档案数字化工作，扫描、编辑、上传数字化平台人文档案316份，共计49639页；组织参加了外部技术培训35人次，开展内部技术培训6次；与河北地质大学城市地质与工程学院开展了院队合作的前期工作；完成了所属全民所有制企业改革工作；积极对接了城调所成立初期的各项调研及排查工作，积极推进资产清查、事业单位注销清算工作，确保了改革工作顺利进行。</w:t>
      </w:r>
    </w:p>
    <w:p w14:paraId="1BA7F19A">
      <w:pPr>
        <w:widowControl/>
        <w:shd w:val="clear"/>
        <w:spacing w:line="600" w:lineRule="exact"/>
        <w:ind w:firstLine="640" w:firstLineChars="200"/>
        <w:jc w:val="left"/>
        <w:rPr>
          <w:rFonts w:eastAsia="黑体"/>
          <w:sz w:val="32"/>
          <w:szCs w:val="32"/>
        </w:rPr>
      </w:pPr>
      <w:r>
        <w:rPr>
          <w:rFonts w:hint="eastAsia" w:eastAsia="黑体"/>
          <w:sz w:val="32"/>
          <w:szCs w:val="32"/>
        </w:rPr>
        <w:t>七、存在的问题及原因分析</w:t>
      </w:r>
    </w:p>
    <w:p w14:paraId="729D3BA5">
      <w:pPr>
        <w:widowControl/>
        <w:shd w:val="clear"/>
        <w:spacing w:line="600" w:lineRule="exact"/>
        <w:ind w:firstLine="562" w:firstLineChars="200"/>
        <w:rPr>
          <w:rFonts w:ascii="仿宋" w:hAnsi="仿宋" w:eastAsia="仿宋" w:cs="仿宋"/>
          <w:sz w:val="28"/>
          <w:szCs w:val="28"/>
        </w:rPr>
      </w:pPr>
      <w:r>
        <w:rPr>
          <w:rFonts w:hint="eastAsia" w:ascii="仿宋" w:hAnsi="仿宋" w:eastAsia="仿宋" w:cs="仿宋"/>
          <w:b/>
          <w:sz w:val="28"/>
          <w:szCs w:val="28"/>
        </w:rPr>
        <w:t>1、资金指标滞后的问题。</w:t>
      </w:r>
      <w:r>
        <w:rPr>
          <w:rFonts w:hint="eastAsia" w:ascii="仿宋" w:hAnsi="仿宋" w:eastAsia="仿宋" w:cs="仿宋"/>
          <w:sz w:val="28"/>
          <w:szCs w:val="28"/>
        </w:rPr>
        <w:t>2021年度我队年末财政拨款结转和结余共计219.51万元，主要原因为指标下达较晚，且为跨年度的地质灾害防治项目，造成收入预算下达与实际施工进度不一致，从而导致了资金跨年度使用，形成了一定的结转资金。</w:t>
      </w:r>
    </w:p>
    <w:p w14:paraId="2045D3BA">
      <w:pPr>
        <w:widowControl/>
        <w:shd w:val="clear"/>
        <w:spacing w:line="600" w:lineRule="exact"/>
        <w:ind w:firstLine="562" w:firstLineChars="200"/>
        <w:rPr>
          <w:rFonts w:ascii="仿宋" w:hAnsi="仿宋" w:eastAsia="仿宋" w:cs="仿宋"/>
          <w:sz w:val="28"/>
          <w:szCs w:val="28"/>
        </w:rPr>
      </w:pPr>
      <w:r>
        <w:rPr>
          <w:rFonts w:hint="eastAsia" w:ascii="仿宋" w:hAnsi="仿宋" w:eastAsia="仿宋" w:cs="仿宋"/>
          <w:b/>
          <w:sz w:val="28"/>
          <w:szCs w:val="28"/>
        </w:rPr>
        <w:t>2、项目资金使用存在的困难。</w:t>
      </w:r>
      <w:r>
        <w:rPr>
          <w:rFonts w:hint="eastAsia" w:ascii="仿宋" w:hAnsi="仿宋" w:eastAsia="仿宋" w:cs="仿宋"/>
          <w:sz w:val="28"/>
          <w:szCs w:val="28"/>
        </w:rPr>
        <w:t>项目资金支付困难。各类地质、环保项目在资金下达前必须经过国土等部门的项目评审环节，已经有实物工作量和经费预算，但财政下达相关指标时大部分以其他商品服务支出经济科目挂国库网，导致项目指标使用时需要重新向自然资源厅、生态环境厅、财政厅主管处室二次审批项目资金支出预算，拉长了项目开展环节，导致项目资金执行缓慢。</w:t>
      </w:r>
    </w:p>
    <w:p w14:paraId="5A8BD2B9">
      <w:pPr>
        <w:widowControl/>
        <w:shd w:val="clear"/>
        <w:spacing w:line="600" w:lineRule="exact"/>
        <w:ind w:firstLine="640" w:firstLineChars="200"/>
        <w:jc w:val="left"/>
        <w:rPr>
          <w:rFonts w:eastAsia="黑体"/>
          <w:sz w:val="32"/>
          <w:szCs w:val="32"/>
        </w:rPr>
      </w:pPr>
      <w:r>
        <w:rPr>
          <w:rFonts w:hint="eastAsia" w:eastAsia="黑体"/>
          <w:sz w:val="32"/>
          <w:szCs w:val="32"/>
        </w:rPr>
        <w:t>八、下一步改进措施</w:t>
      </w:r>
    </w:p>
    <w:p w14:paraId="44BDA8DE">
      <w:pPr>
        <w:widowControl/>
        <w:shd w:val="clear"/>
        <w:spacing w:line="600" w:lineRule="exact"/>
        <w:ind w:firstLine="548" w:firstLineChars="196"/>
        <w:rPr>
          <w:rFonts w:ascii="仿宋" w:hAnsi="仿宋" w:eastAsia="仿宋" w:cs="仿宋"/>
          <w:sz w:val="28"/>
          <w:szCs w:val="28"/>
        </w:rPr>
      </w:pPr>
      <w:r>
        <w:rPr>
          <w:rFonts w:hint="eastAsia" w:ascii="仿宋" w:hAnsi="仿宋" w:eastAsia="仿宋" w:cs="仿宋"/>
          <w:sz w:val="28"/>
          <w:szCs w:val="28"/>
        </w:rPr>
        <w:t>1、进一步加强与各相关职能部门的沟通协调，加快跨年地勘项目资金的拨付和使用，减少年末结转结余资金，确实提高预算资金使用率。</w:t>
      </w:r>
    </w:p>
    <w:p w14:paraId="47033D6D">
      <w:pPr>
        <w:widowControl/>
        <w:shd w:val="clear"/>
        <w:spacing w:line="600" w:lineRule="exact"/>
        <w:ind w:firstLine="548" w:firstLineChars="196"/>
        <w:rPr>
          <w:rFonts w:ascii="仿宋" w:hAnsi="仿宋" w:eastAsia="仿宋" w:cs="仿宋"/>
          <w:sz w:val="28"/>
          <w:szCs w:val="28"/>
        </w:rPr>
      </w:pPr>
      <w:r>
        <w:rPr>
          <w:rFonts w:hint="eastAsia" w:ascii="仿宋" w:hAnsi="仿宋" w:eastAsia="仿宋" w:cs="仿宋"/>
          <w:sz w:val="28"/>
          <w:szCs w:val="28"/>
        </w:rPr>
        <w:t>2、对项目进展、资金执行进行监控，确保资金高效使用。落实预算执行分析，及时了解预算执行差异，合理调整、纠正预算执行偏差，切实提高部门预算收支管理水平。</w:t>
      </w:r>
    </w:p>
    <w:p w14:paraId="5A1E1029">
      <w:pPr>
        <w:widowControl/>
        <w:shd w:val="clear"/>
        <w:spacing w:line="600" w:lineRule="exact"/>
        <w:ind w:firstLine="548" w:firstLineChars="196"/>
        <w:rPr>
          <w:rFonts w:ascii="仿宋" w:hAnsi="仿宋" w:eastAsia="仿宋" w:cs="仿宋"/>
          <w:sz w:val="28"/>
          <w:szCs w:val="28"/>
        </w:rPr>
      </w:pPr>
      <w:r>
        <w:rPr>
          <w:rFonts w:hint="eastAsia" w:ascii="仿宋" w:hAnsi="仿宋" w:eastAsia="仿宋" w:cs="仿宋"/>
          <w:sz w:val="28"/>
          <w:szCs w:val="28"/>
        </w:rPr>
        <w:t>3、进一步规范管理，扎实做好各项基础工作，提高财政资金使用绩效。</w:t>
      </w:r>
    </w:p>
    <w:p w14:paraId="554355D7">
      <w:pPr>
        <w:widowControl/>
        <w:shd w:val="clear"/>
        <w:spacing w:line="600" w:lineRule="exact"/>
        <w:ind w:firstLine="640" w:firstLineChars="200"/>
        <w:jc w:val="left"/>
        <w:rPr>
          <w:rFonts w:eastAsia="黑体"/>
          <w:sz w:val="32"/>
          <w:szCs w:val="32"/>
        </w:rPr>
      </w:pPr>
      <w:r>
        <w:rPr>
          <w:rFonts w:hint="eastAsia" w:eastAsia="黑体"/>
          <w:sz w:val="32"/>
          <w:szCs w:val="32"/>
        </w:rPr>
        <w:t>九、部门整体支出绩效自评结果拟应用和公开情况</w:t>
      </w:r>
    </w:p>
    <w:p w14:paraId="5606ADB3">
      <w:pPr>
        <w:widowControl/>
        <w:shd w:val="clear"/>
        <w:spacing w:line="600" w:lineRule="exact"/>
        <w:ind w:firstLine="548" w:firstLineChars="196"/>
        <w:rPr>
          <w:rFonts w:ascii="仿宋" w:hAnsi="仿宋" w:eastAsia="仿宋" w:cs="仿宋"/>
          <w:sz w:val="28"/>
          <w:szCs w:val="28"/>
        </w:rPr>
      </w:pPr>
      <w:r>
        <w:rPr>
          <w:rFonts w:hint="eastAsia" w:ascii="仿宋" w:hAnsi="仿宋" w:eastAsia="仿宋" w:cs="仿宋"/>
          <w:sz w:val="28"/>
          <w:szCs w:val="28"/>
        </w:rPr>
        <w:t>无。</w:t>
      </w:r>
    </w:p>
    <w:p w14:paraId="44B04BFB">
      <w:pPr>
        <w:widowControl/>
        <w:shd w:val="clear"/>
        <w:spacing w:after="156" w:afterLines="50" w:line="600" w:lineRule="exact"/>
        <w:jc w:val="left"/>
        <w:rPr>
          <w:rFonts w:eastAsia="黑体"/>
          <w:sz w:val="32"/>
          <w:szCs w:val="32"/>
        </w:rPr>
      </w:pPr>
    </w:p>
    <w:p w14:paraId="2D13B0A6">
      <w:pPr>
        <w:widowControl/>
        <w:shd w:val="clear"/>
        <w:spacing w:after="156" w:afterLines="50" w:line="600" w:lineRule="exact"/>
        <w:jc w:val="left"/>
        <w:rPr>
          <w:rFonts w:eastAsia="黑体"/>
          <w:sz w:val="32"/>
          <w:szCs w:val="32"/>
        </w:rPr>
        <w:sectPr>
          <w:footerReference r:id="rId3" w:type="default"/>
          <w:pgSz w:w="11906" w:h="16838"/>
          <w:pgMar w:top="1701" w:right="1701" w:bottom="1418" w:left="1701"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449B6F85">
      <w:pPr>
        <w:widowControl/>
        <w:shd w:val="clear"/>
        <w:spacing w:after="156" w:afterLines="50" w:line="600" w:lineRule="exact"/>
        <w:jc w:val="left"/>
        <w:rPr>
          <w:rFonts w:eastAsia="黑体"/>
          <w:sz w:val="32"/>
          <w:szCs w:val="32"/>
        </w:rPr>
      </w:pPr>
      <w:r>
        <w:rPr>
          <w:rFonts w:hint="eastAsia" w:eastAsia="黑体"/>
          <w:sz w:val="32"/>
          <w:szCs w:val="32"/>
        </w:rPr>
        <w:t>附件1</w:t>
      </w:r>
    </w:p>
    <w:p w14:paraId="5CEA220F">
      <w:pPr>
        <w:spacing w:after="156" w:afterLines="50" w:line="600" w:lineRule="exact"/>
        <w:jc w:val="center"/>
        <w:rPr>
          <w:rFonts w:eastAsia="仿宋_GB2312"/>
          <w:kern w:val="0"/>
          <w:sz w:val="24"/>
        </w:rPr>
      </w:pPr>
      <w:r>
        <w:rPr>
          <w:rFonts w:hint="eastAsia" w:eastAsia="方正小标宋_GBK"/>
          <w:kern w:val="0"/>
          <w:sz w:val="36"/>
          <w:szCs w:val="36"/>
        </w:rPr>
        <w:t>2021年度单位整体支出绩效评价基础数据表</w:t>
      </w:r>
    </w:p>
    <w:tbl>
      <w:tblPr>
        <w:tblStyle w:val="6"/>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14:paraId="3938A3FD">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3F0D51CD">
            <w:pPr>
              <w:widowControl/>
              <w:jc w:val="center"/>
              <w:rPr>
                <w:rFonts w:eastAsia="仿宋_GB2312"/>
                <w:kern w:val="0"/>
                <w:szCs w:val="21"/>
              </w:rPr>
            </w:pPr>
            <w:r>
              <w:rPr>
                <w:rFonts w:hint="eastAsia" w:eastAsia="仿宋_GB2312"/>
                <w:kern w:val="0"/>
                <w:szCs w:val="21"/>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14:paraId="0506D2C2">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14:paraId="0EA9C156">
            <w:pPr>
              <w:widowControl/>
              <w:jc w:val="center"/>
              <w:rPr>
                <w:rFonts w:eastAsia="仿宋_GB2312"/>
                <w:b/>
                <w:bCs/>
                <w:kern w:val="0"/>
                <w:szCs w:val="21"/>
              </w:rPr>
            </w:pPr>
            <w:r>
              <w:rPr>
                <w:rFonts w:hint="eastAsia" w:eastAsia="仿宋_GB2312"/>
                <w:b/>
                <w:bCs/>
                <w:kern w:val="0"/>
                <w:szCs w:val="21"/>
              </w:rPr>
              <w:t>2022年实际在职人数</w:t>
            </w:r>
          </w:p>
        </w:tc>
        <w:tc>
          <w:tcPr>
            <w:tcW w:w="1832" w:type="dxa"/>
            <w:gridSpan w:val="2"/>
            <w:tcBorders>
              <w:top w:val="single" w:color="auto" w:sz="4" w:space="0"/>
              <w:left w:val="nil"/>
              <w:bottom w:val="single" w:color="auto" w:sz="4" w:space="0"/>
              <w:right w:val="single" w:color="auto" w:sz="4" w:space="0"/>
            </w:tcBorders>
            <w:vAlign w:val="center"/>
          </w:tcPr>
          <w:p w14:paraId="2D99514C">
            <w:pPr>
              <w:widowControl/>
              <w:jc w:val="center"/>
              <w:rPr>
                <w:rFonts w:eastAsia="仿宋_GB2312"/>
                <w:b/>
                <w:bCs/>
                <w:kern w:val="0"/>
                <w:szCs w:val="21"/>
              </w:rPr>
            </w:pPr>
            <w:r>
              <w:rPr>
                <w:rFonts w:hint="eastAsia" w:eastAsia="仿宋_GB2312"/>
                <w:b/>
                <w:bCs/>
                <w:kern w:val="0"/>
                <w:szCs w:val="21"/>
              </w:rPr>
              <w:t>控制率</w:t>
            </w:r>
          </w:p>
        </w:tc>
      </w:tr>
      <w:tr w14:paraId="183E67FE">
        <w:tblPrEx>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3FE0ACD8">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14:paraId="47039986">
            <w:pPr>
              <w:widowControl/>
              <w:jc w:val="center"/>
              <w:rPr>
                <w:rFonts w:eastAsia="仿宋_GB2312"/>
                <w:kern w:val="0"/>
                <w:szCs w:val="21"/>
              </w:rPr>
            </w:pPr>
            <w:r>
              <w:rPr>
                <w:rFonts w:hint="eastAsia" w:eastAsia="仿宋_GB2312"/>
                <w:kern w:val="0"/>
                <w:szCs w:val="21"/>
              </w:rPr>
              <w:t>4</w:t>
            </w:r>
            <w:r>
              <w:rPr>
                <w:rFonts w:eastAsia="仿宋_GB2312"/>
                <w:kern w:val="0"/>
                <w:szCs w:val="21"/>
              </w:rPr>
              <w:t>08</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auto" w:sz="4" w:space="0"/>
            </w:tcBorders>
            <w:vAlign w:val="center"/>
          </w:tcPr>
          <w:p w14:paraId="4136050A">
            <w:pPr>
              <w:widowControl/>
              <w:jc w:val="center"/>
              <w:rPr>
                <w:rFonts w:eastAsia="仿宋_GB2312"/>
                <w:kern w:val="0"/>
                <w:szCs w:val="21"/>
              </w:rPr>
            </w:pPr>
            <w:r>
              <w:rPr>
                <w:rFonts w:hint="eastAsia" w:eastAsia="仿宋_GB2312"/>
                <w:kern w:val="0"/>
                <w:szCs w:val="21"/>
              </w:rPr>
              <w:t>317　</w:t>
            </w:r>
          </w:p>
        </w:tc>
        <w:tc>
          <w:tcPr>
            <w:tcW w:w="1832" w:type="dxa"/>
            <w:gridSpan w:val="2"/>
            <w:tcBorders>
              <w:top w:val="single" w:color="auto" w:sz="4" w:space="0"/>
              <w:left w:val="nil"/>
              <w:bottom w:val="single" w:color="auto" w:sz="4" w:space="0"/>
              <w:right w:val="single" w:color="auto" w:sz="4" w:space="0"/>
            </w:tcBorders>
            <w:vAlign w:val="center"/>
          </w:tcPr>
          <w:p w14:paraId="50749415">
            <w:pPr>
              <w:widowControl/>
              <w:jc w:val="center"/>
              <w:rPr>
                <w:rFonts w:eastAsia="仿宋_GB2312"/>
                <w:kern w:val="0"/>
                <w:szCs w:val="21"/>
              </w:rPr>
            </w:pPr>
            <w:r>
              <w:rPr>
                <w:rFonts w:hint="eastAsia" w:eastAsia="仿宋_GB2312"/>
                <w:kern w:val="0"/>
                <w:szCs w:val="21"/>
              </w:rPr>
              <w:t>77.7%</w:t>
            </w:r>
          </w:p>
        </w:tc>
      </w:tr>
      <w:tr w14:paraId="778B360F">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69B54D53">
            <w:pPr>
              <w:widowControl/>
              <w:jc w:val="center"/>
              <w:rPr>
                <w:rFonts w:eastAsia="仿宋_GB2312"/>
                <w:kern w:val="0"/>
                <w:szCs w:val="21"/>
              </w:rPr>
            </w:pPr>
            <w:r>
              <w:rPr>
                <w:rFonts w:hint="eastAsia" w:eastAsia="仿宋_GB2312"/>
                <w:kern w:val="0"/>
                <w:szCs w:val="21"/>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14:paraId="4A4259BD">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20年决算数</w:t>
            </w:r>
          </w:p>
        </w:tc>
        <w:tc>
          <w:tcPr>
            <w:tcW w:w="2240" w:type="dxa"/>
            <w:gridSpan w:val="2"/>
            <w:tcBorders>
              <w:top w:val="single" w:color="auto" w:sz="4" w:space="0"/>
              <w:left w:val="nil"/>
              <w:bottom w:val="single" w:color="auto" w:sz="4" w:space="0"/>
              <w:right w:val="single" w:color="000000" w:sz="4" w:space="0"/>
            </w:tcBorders>
            <w:vAlign w:val="center"/>
          </w:tcPr>
          <w:p w14:paraId="51E0844C">
            <w:pPr>
              <w:widowControl/>
              <w:jc w:val="center"/>
              <w:rPr>
                <w:rFonts w:eastAsia="仿宋_GB2312"/>
                <w:b/>
                <w:bCs/>
                <w:kern w:val="0"/>
                <w:szCs w:val="21"/>
              </w:rPr>
            </w:pPr>
            <w:r>
              <w:rPr>
                <w:rFonts w:hint="eastAsia" w:eastAsia="仿宋_GB2312"/>
                <w:b/>
                <w:bCs/>
                <w:kern w:val="0"/>
                <w:szCs w:val="21"/>
              </w:rPr>
              <w:t>2021年预算数</w:t>
            </w:r>
          </w:p>
        </w:tc>
        <w:tc>
          <w:tcPr>
            <w:tcW w:w="1832" w:type="dxa"/>
            <w:gridSpan w:val="2"/>
            <w:tcBorders>
              <w:top w:val="single" w:color="auto" w:sz="4" w:space="0"/>
              <w:left w:val="nil"/>
              <w:bottom w:val="single" w:color="auto" w:sz="4" w:space="0"/>
              <w:right w:val="single" w:color="000000" w:sz="4" w:space="0"/>
            </w:tcBorders>
            <w:vAlign w:val="center"/>
          </w:tcPr>
          <w:p w14:paraId="2AC87398">
            <w:pPr>
              <w:widowControl/>
              <w:jc w:val="center"/>
              <w:rPr>
                <w:rFonts w:eastAsia="仿宋_GB2312"/>
                <w:b/>
                <w:bCs/>
                <w:kern w:val="0"/>
                <w:szCs w:val="21"/>
              </w:rPr>
            </w:pPr>
            <w:r>
              <w:rPr>
                <w:rFonts w:hint="eastAsia" w:eastAsia="仿宋_GB2312"/>
                <w:b/>
                <w:bCs/>
                <w:kern w:val="0"/>
                <w:szCs w:val="21"/>
              </w:rPr>
              <w:t>2021年决算数</w:t>
            </w:r>
          </w:p>
        </w:tc>
      </w:tr>
      <w:tr w14:paraId="032696E4">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3A4E38BD">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14:paraId="3BA19300">
            <w:pPr>
              <w:widowControl/>
              <w:jc w:val="center"/>
              <w:rPr>
                <w:rFonts w:eastAsia="仿宋_GB2312"/>
                <w:kern w:val="0"/>
                <w:szCs w:val="21"/>
              </w:rPr>
            </w:pPr>
            <w:r>
              <w:rPr>
                <w:rFonts w:hint="eastAsia" w:eastAsia="仿宋_GB2312"/>
                <w:kern w:val="0"/>
                <w:szCs w:val="21"/>
              </w:rPr>
              <w:t>无</w:t>
            </w:r>
          </w:p>
        </w:tc>
        <w:tc>
          <w:tcPr>
            <w:tcW w:w="2240" w:type="dxa"/>
            <w:gridSpan w:val="2"/>
            <w:tcBorders>
              <w:top w:val="single" w:color="auto" w:sz="4" w:space="0"/>
              <w:left w:val="nil"/>
              <w:bottom w:val="single" w:color="auto" w:sz="4" w:space="0"/>
              <w:right w:val="single" w:color="000000" w:sz="4" w:space="0"/>
            </w:tcBorders>
            <w:vAlign w:val="center"/>
          </w:tcPr>
          <w:p w14:paraId="47A51886">
            <w:pPr>
              <w:widowControl/>
              <w:jc w:val="center"/>
              <w:rPr>
                <w:rFonts w:eastAsia="仿宋_GB2312"/>
                <w:kern w:val="0"/>
                <w:szCs w:val="21"/>
              </w:rPr>
            </w:pPr>
            <w:r>
              <w:rPr>
                <w:rFonts w:hint="eastAsia" w:eastAsia="仿宋_GB2312"/>
                <w:kern w:val="0"/>
                <w:szCs w:val="21"/>
              </w:rPr>
              <w:t>无</w:t>
            </w:r>
          </w:p>
        </w:tc>
        <w:tc>
          <w:tcPr>
            <w:tcW w:w="1832" w:type="dxa"/>
            <w:gridSpan w:val="2"/>
            <w:tcBorders>
              <w:top w:val="single" w:color="auto" w:sz="4" w:space="0"/>
              <w:left w:val="nil"/>
              <w:bottom w:val="single" w:color="auto" w:sz="4" w:space="0"/>
              <w:right w:val="single" w:color="000000" w:sz="4" w:space="0"/>
            </w:tcBorders>
            <w:vAlign w:val="center"/>
          </w:tcPr>
          <w:p w14:paraId="41A22704">
            <w:pPr>
              <w:widowControl/>
              <w:jc w:val="center"/>
              <w:rPr>
                <w:rFonts w:eastAsia="仿宋_GB2312"/>
                <w:kern w:val="0"/>
                <w:szCs w:val="21"/>
              </w:rPr>
            </w:pPr>
            <w:r>
              <w:rPr>
                <w:rFonts w:hint="eastAsia" w:eastAsia="仿宋_GB2312"/>
                <w:kern w:val="0"/>
                <w:szCs w:val="21"/>
              </w:rPr>
              <w:t>无</w:t>
            </w:r>
          </w:p>
        </w:tc>
      </w:tr>
      <w:tr w14:paraId="796EAABE">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7FDD859F">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14:paraId="4A6A329C">
            <w:pPr>
              <w:widowControl/>
              <w:jc w:val="center"/>
              <w:rPr>
                <w:rFonts w:eastAsia="仿宋_GB2312"/>
                <w:kern w:val="0"/>
                <w:szCs w:val="21"/>
              </w:rPr>
            </w:pPr>
            <w:r>
              <w:rPr>
                <w:rFonts w:hint="eastAsia" w:eastAsia="仿宋_GB2312"/>
                <w:kern w:val="0"/>
                <w:szCs w:val="21"/>
              </w:rPr>
              <w:t>0　</w:t>
            </w:r>
          </w:p>
        </w:tc>
        <w:tc>
          <w:tcPr>
            <w:tcW w:w="2240" w:type="dxa"/>
            <w:gridSpan w:val="2"/>
            <w:tcBorders>
              <w:top w:val="single" w:color="auto" w:sz="4" w:space="0"/>
              <w:left w:val="nil"/>
              <w:bottom w:val="single" w:color="auto" w:sz="4" w:space="0"/>
              <w:right w:val="single" w:color="000000" w:sz="4" w:space="0"/>
            </w:tcBorders>
            <w:vAlign w:val="center"/>
          </w:tcPr>
          <w:p w14:paraId="1669A80B">
            <w:pPr>
              <w:widowControl/>
              <w:jc w:val="center"/>
              <w:rPr>
                <w:rFonts w:eastAsia="仿宋_GB2312"/>
                <w:kern w:val="0"/>
                <w:szCs w:val="21"/>
              </w:rPr>
            </w:pPr>
            <w:r>
              <w:rPr>
                <w:rFonts w:hint="eastAsia" w:eastAsia="仿宋_GB2312"/>
                <w:kern w:val="0"/>
                <w:szCs w:val="21"/>
              </w:rPr>
              <w:t>0　</w:t>
            </w:r>
          </w:p>
        </w:tc>
        <w:tc>
          <w:tcPr>
            <w:tcW w:w="1832" w:type="dxa"/>
            <w:gridSpan w:val="2"/>
            <w:tcBorders>
              <w:top w:val="single" w:color="auto" w:sz="4" w:space="0"/>
              <w:left w:val="nil"/>
              <w:bottom w:val="single" w:color="auto" w:sz="4" w:space="0"/>
              <w:right w:val="single" w:color="000000" w:sz="4" w:space="0"/>
            </w:tcBorders>
            <w:vAlign w:val="center"/>
          </w:tcPr>
          <w:p w14:paraId="398C5E7C">
            <w:pPr>
              <w:widowControl/>
              <w:jc w:val="center"/>
              <w:rPr>
                <w:rFonts w:eastAsia="仿宋_GB2312"/>
                <w:kern w:val="0"/>
                <w:szCs w:val="21"/>
              </w:rPr>
            </w:pPr>
            <w:r>
              <w:rPr>
                <w:rFonts w:hint="eastAsia" w:eastAsia="仿宋_GB2312"/>
                <w:kern w:val="0"/>
                <w:szCs w:val="21"/>
              </w:rPr>
              <w:t>0　</w:t>
            </w:r>
          </w:p>
        </w:tc>
      </w:tr>
      <w:tr w14:paraId="26C59266">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2B8CF0ED">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vAlign w:val="center"/>
          </w:tcPr>
          <w:p w14:paraId="78D36C9E">
            <w:pPr>
              <w:widowControl/>
              <w:jc w:val="center"/>
              <w:rPr>
                <w:rFonts w:eastAsia="仿宋_GB2312"/>
                <w:kern w:val="0"/>
                <w:szCs w:val="21"/>
              </w:rPr>
            </w:pPr>
            <w:r>
              <w:rPr>
                <w:rFonts w:hint="eastAsia" w:eastAsia="仿宋_GB2312"/>
                <w:kern w:val="0"/>
                <w:szCs w:val="21"/>
              </w:rPr>
              <w:t>0　</w:t>
            </w:r>
          </w:p>
        </w:tc>
        <w:tc>
          <w:tcPr>
            <w:tcW w:w="2240" w:type="dxa"/>
            <w:gridSpan w:val="2"/>
            <w:tcBorders>
              <w:top w:val="single" w:color="auto" w:sz="4" w:space="0"/>
              <w:left w:val="nil"/>
              <w:bottom w:val="single" w:color="auto" w:sz="4" w:space="0"/>
              <w:right w:val="single" w:color="000000" w:sz="4" w:space="0"/>
            </w:tcBorders>
            <w:vAlign w:val="center"/>
          </w:tcPr>
          <w:p w14:paraId="246476FD">
            <w:pPr>
              <w:widowControl/>
              <w:jc w:val="center"/>
              <w:rPr>
                <w:rFonts w:eastAsia="仿宋_GB2312"/>
                <w:kern w:val="0"/>
                <w:szCs w:val="21"/>
              </w:rPr>
            </w:pPr>
            <w:r>
              <w:rPr>
                <w:rFonts w:hint="eastAsia" w:eastAsia="仿宋_GB2312"/>
                <w:kern w:val="0"/>
                <w:szCs w:val="21"/>
              </w:rPr>
              <w:t>0　</w:t>
            </w:r>
          </w:p>
        </w:tc>
        <w:tc>
          <w:tcPr>
            <w:tcW w:w="1832" w:type="dxa"/>
            <w:gridSpan w:val="2"/>
            <w:tcBorders>
              <w:top w:val="single" w:color="auto" w:sz="4" w:space="0"/>
              <w:left w:val="nil"/>
              <w:bottom w:val="single" w:color="auto" w:sz="4" w:space="0"/>
              <w:right w:val="single" w:color="000000" w:sz="4" w:space="0"/>
            </w:tcBorders>
            <w:vAlign w:val="center"/>
          </w:tcPr>
          <w:p w14:paraId="3C7E1016">
            <w:pPr>
              <w:widowControl/>
              <w:jc w:val="center"/>
              <w:rPr>
                <w:rFonts w:eastAsia="仿宋_GB2312"/>
                <w:kern w:val="0"/>
                <w:szCs w:val="21"/>
              </w:rPr>
            </w:pPr>
            <w:r>
              <w:rPr>
                <w:rFonts w:hint="eastAsia" w:eastAsia="仿宋_GB2312"/>
                <w:kern w:val="0"/>
                <w:szCs w:val="21"/>
              </w:rPr>
              <w:t>0　</w:t>
            </w:r>
          </w:p>
        </w:tc>
      </w:tr>
      <w:tr w14:paraId="28F68317">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51D98968">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vAlign w:val="center"/>
          </w:tcPr>
          <w:p w14:paraId="7DEB3D5A">
            <w:pPr>
              <w:widowControl/>
              <w:jc w:val="center"/>
              <w:rPr>
                <w:rFonts w:eastAsia="仿宋_GB2312"/>
                <w:kern w:val="0"/>
                <w:szCs w:val="21"/>
              </w:rPr>
            </w:pPr>
            <w:r>
              <w:rPr>
                <w:rFonts w:hint="eastAsia" w:eastAsia="仿宋_GB2312"/>
                <w:kern w:val="0"/>
                <w:szCs w:val="21"/>
              </w:rPr>
              <w:t>0　</w:t>
            </w:r>
          </w:p>
        </w:tc>
        <w:tc>
          <w:tcPr>
            <w:tcW w:w="2240" w:type="dxa"/>
            <w:gridSpan w:val="2"/>
            <w:tcBorders>
              <w:top w:val="single" w:color="auto" w:sz="4" w:space="0"/>
              <w:left w:val="nil"/>
              <w:bottom w:val="single" w:color="auto" w:sz="4" w:space="0"/>
              <w:right w:val="single" w:color="000000" w:sz="4" w:space="0"/>
            </w:tcBorders>
            <w:vAlign w:val="center"/>
          </w:tcPr>
          <w:p w14:paraId="37D74D95">
            <w:pPr>
              <w:widowControl/>
              <w:jc w:val="center"/>
              <w:rPr>
                <w:rFonts w:eastAsia="仿宋_GB2312"/>
                <w:kern w:val="0"/>
                <w:szCs w:val="21"/>
              </w:rPr>
            </w:pPr>
            <w:r>
              <w:rPr>
                <w:rFonts w:hint="eastAsia" w:eastAsia="仿宋_GB2312"/>
                <w:kern w:val="0"/>
                <w:szCs w:val="21"/>
              </w:rPr>
              <w:t>0　</w:t>
            </w:r>
          </w:p>
        </w:tc>
        <w:tc>
          <w:tcPr>
            <w:tcW w:w="1832" w:type="dxa"/>
            <w:gridSpan w:val="2"/>
            <w:tcBorders>
              <w:top w:val="single" w:color="auto" w:sz="4" w:space="0"/>
              <w:left w:val="nil"/>
              <w:bottom w:val="single" w:color="auto" w:sz="4" w:space="0"/>
              <w:right w:val="single" w:color="000000" w:sz="4" w:space="0"/>
            </w:tcBorders>
            <w:vAlign w:val="center"/>
          </w:tcPr>
          <w:p w14:paraId="1373892D">
            <w:pPr>
              <w:widowControl/>
              <w:jc w:val="center"/>
              <w:rPr>
                <w:rFonts w:eastAsia="仿宋_GB2312"/>
                <w:kern w:val="0"/>
                <w:szCs w:val="21"/>
              </w:rPr>
            </w:pPr>
            <w:r>
              <w:rPr>
                <w:rFonts w:hint="eastAsia" w:eastAsia="仿宋_GB2312"/>
                <w:kern w:val="0"/>
                <w:szCs w:val="21"/>
              </w:rPr>
              <w:t>0　</w:t>
            </w:r>
          </w:p>
        </w:tc>
      </w:tr>
      <w:tr w14:paraId="6AB7AABE">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1C9BEAE9">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vAlign w:val="center"/>
          </w:tcPr>
          <w:p w14:paraId="6F921EBA">
            <w:pPr>
              <w:widowControl/>
              <w:jc w:val="center"/>
              <w:rPr>
                <w:rFonts w:eastAsia="仿宋_GB2312"/>
                <w:kern w:val="0"/>
                <w:szCs w:val="21"/>
              </w:rPr>
            </w:pPr>
            <w:r>
              <w:rPr>
                <w:rFonts w:hint="eastAsia" w:eastAsia="仿宋_GB2312"/>
                <w:kern w:val="0"/>
                <w:szCs w:val="21"/>
              </w:rPr>
              <w:t>0　</w:t>
            </w:r>
          </w:p>
        </w:tc>
        <w:tc>
          <w:tcPr>
            <w:tcW w:w="2240" w:type="dxa"/>
            <w:gridSpan w:val="2"/>
            <w:tcBorders>
              <w:top w:val="single" w:color="auto" w:sz="4" w:space="0"/>
              <w:left w:val="nil"/>
              <w:bottom w:val="single" w:color="auto" w:sz="4" w:space="0"/>
              <w:right w:val="single" w:color="000000" w:sz="4" w:space="0"/>
            </w:tcBorders>
            <w:vAlign w:val="center"/>
          </w:tcPr>
          <w:p w14:paraId="67B21CC2">
            <w:pPr>
              <w:widowControl/>
              <w:jc w:val="center"/>
              <w:rPr>
                <w:rFonts w:eastAsia="仿宋_GB2312"/>
                <w:kern w:val="0"/>
                <w:szCs w:val="21"/>
              </w:rPr>
            </w:pPr>
            <w:r>
              <w:rPr>
                <w:rFonts w:hint="eastAsia" w:eastAsia="仿宋_GB2312"/>
                <w:kern w:val="0"/>
                <w:szCs w:val="21"/>
              </w:rPr>
              <w:t>0　</w:t>
            </w:r>
          </w:p>
        </w:tc>
        <w:tc>
          <w:tcPr>
            <w:tcW w:w="1832" w:type="dxa"/>
            <w:gridSpan w:val="2"/>
            <w:tcBorders>
              <w:top w:val="single" w:color="auto" w:sz="4" w:space="0"/>
              <w:left w:val="nil"/>
              <w:bottom w:val="single" w:color="auto" w:sz="4" w:space="0"/>
              <w:right w:val="single" w:color="000000" w:sz="4" w:space="0"/>
            </w:tcBorders>
            <w:vAlign w:val="center"/>
          </w:tcPr>
          <w:p w14:paraId="58054B62">
            <w:pPr>
              <w:widowControl/>
              <w:jc w:val="center"/>
              <w:rPr>
                <w:rFonts w:eastAsia="仿宋_GB2312"/>
                <w:kern w:val="0"/>
                <w:szCs w:val="21"/>
              </w:rPr>
            </w:pPr>
            <w:r>
              <w:rPr>
                <w:rFonts w:hint="eastAsia" w:eastAsia="仿宋_GB2312"/>
                <w:kern w:val="0"/>
                <w:szCs w:val="21"/>
              </w:rPr>
              <w:t>0　</w:t>
            </w:r>
          </w:p>
        </w:tc>
      </w:tr>
      <w:tr w14:paraId="7513C2FF">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41A1F854">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vAlign w:val="center"/>
          </w:tcPr>
          <w:p w14:paraId="4DBFBA36">
            <w:pPr>
              <w:widowControl/>
              <w:jc w:val="center"/>
              <w:rPr>
                <w:rFonts w:eastAsia="仿宋_GB2312"/>
                <w:kern w:val="0"/>
                <w:szCs w:val="21"/>
              </w:rPr>
            </w:pPr>
            <w:r>
              <w:rPr>
                <w:rFonts w:hint="eastAsia" w:eastAsia="仿宋_GB2312"/>
                <w:kern w:val="0"/>
                <w:szCs w:val="21"/>
              </w:rPr>
              <w:t>0　</w:t>
            </w:r>
          </w:p>
        </w:tc>
        <w:tc>
          <w:tcPr>
            <w:tcW w:w="2240" w:type="dxa"/>
            <w:gridSpan w:val="2"/>
            <w:tcBorders>
              <w:top w:val="single" w:color="auto" w:sz="4" w:space="0"/>
              <w:left w:val="nil"/>
              <w:bottom w:val="single" w:color="auto" w:sz="4" w:space="0"/>
              <w:right w:val="single" w:color="000000" w:sz="4" w:space="0"/>
            </w:tcBorders>
            <w:vAlign w:val="center"/>
          </w:tcPr>
          <w:p w14:paraId="28E19549">
            <w:pPr>
              <w:widowControl/>
              <w:jc w:val="center"/>
              <w:rPr>
                <w:rFonts w:eastAsia="仿宋_GB2312"/>
                <w:kern w:val="0"/>
                <w:szCs w:val="21"/>
              </w:rPr>
            </w:pPr>
            <w:r>
              <w:rPr>
                <w:rFonts w:hint="eastAsia" w:eastAsia="仿宋_GB2312"/>
                <w:kern w:val="0"/>
                <w:szCs w:val="21"/>
              </w:rPr>
              <w:t>0　</w:t>
            </w:r>
          </w:p>
        </w:tc>
        <w:tc>
          <w:tcPr>
            <w:tcW w:w="1832" w:type="dxa"/>
            <w:gridSpan w:val="2"/>
            <w:tcBorders>
              <w:top w:val="single" w:color="auto" w:sz="4" w:space="0"/>
              <w:left w:val="nil"/>
              <w:bottom w:val="single" w:color="auto" w:sz="4" w:space="0"/>
              <w:right w:val="single" w:color="000000" w:sz="4" w:space="0"/>
            </w:tcBorders>
            <w:vAlign w:val="center"/>
          </w:tcPr>
          <w:p w14:paraId="328D6D39">
            <w:pPr>
              <w:widowControl/>
              <w:jc w:val="center"/>
              <w:rPr>
                <w:rFonts w:eastAsia="仿宋_GB2312"/>
                <w:kern w:val="0"/>
                <w:szCs w:val="21"/>
              </w:rPr>
            </w:pPr>
            <w:r>
              <w:rPr>
                <w:rFonts w:hint="eastAsia" w:eastAsia="仿宋_GB2312"/>
                <w:kern w:val="0"/>
                <w:szCs w:val="21"/>
              </w:rPr>
              <w:t>0　</w:t>
            </w:r>
          </w:p>
        </w:tc>
      </w:tr>
      <w:tr w14:paraId="720280A7">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3E595717">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14:paraId="3C13F31C">
            <w:pPr>
              <w:widowControl/>
              <w:jc w:val="center"/>
              <w:rPr>
                <w:rFonts w:eastAsia="仿宋_GB2312"/>
                <w:color w:val="0000FF"/>
                <w:kern w:val="0"/>
                <w:szCs w:val="21"/>
                <w:highlight w:val="yellow"/>
              </w:rPr>
            </w:pPr>
            <w:r>
              <w:rPr>
                <w:rFonts w:hint="eastAsia" w:eastAsia="仿宋_GB2312"/>
                <w:kern w:val="0"/>
                <w:szCs w:val="21"/>
              </w:rPr>
              <w:t>　945.40</w:t>
            </w:r>
          </w:p>
        </w:tc>
        <w:tc>
          <w:tcPr>
            <w:tcW w:w="2240" w:type="dxa"/>
            <w:gridSpan w:val="2"/>
            <w:tcBorders>
              <w:top w:val="single" w:color="auto" w:sz="4" w:space="0"/>
              <w:left w:val="nil"/>
              <w:bottom w:val="single" w:color="auto" w:sz="4" w:space="0"/>
              <w:right w:val="single" w:color="000000" w:sz="4" w:space="0"/>
            </w:tcBorders>
            <w:vAlign w:val="center"/>
          </w:tcPr>
          <w:p w14:paraId="718FD6EB">
            <w:pPr>
              <w:widowControl/>
              <w:jc w:val="center"/>
              <w:rPr>
                <w:rFonts w:eastAsia="仿宋_GB2312"/>
                <w:color w:val="0000FF"/>
                <w:kern w:val="0"/>
                <w:szCs w:val="21"/>
                <w:highlight w:val="yellow"/>
              </w:rPr>
            </w:pPr>
            <w:r>
              <w:rPr>
                <w:rFonts w:hint="eastAsia" w:eastAsia="仿宋_GB2312"/>
                <w:kern w:val="0"/>
                <w:szCs w:val="21"/>
              </w:rPr>
              <w:t>　994.73</w:t>
            </w:r>
          </w:p>
        </w:tc>
        <w:tc>
          <w:tcPr>
            <w:tcW w:w="1832" w:type="dxa"/>
            <w:gridSpan w:val="2"/>
            <w:tcBorders>
              <w:top w:val="single" w:color="auto" w:sz="4" w:space="0"/>
              <w:left w:val="nil"/>
              <w:bottom w:val="single" w:color="auto" w:sz="4" w:space="0"/>
              <w:right w:val="single" w:color="000000" w:sz="4" w:space="0"/>
            </w:tcBorders>
            <w:vAlign w:val="center"/>
          </w:tcPr>
          <w:p w14:paraId="6E80F530">
            <w:pPr>
              <w:widowControl/>
              <w:jc w:val="center"/>
              <w:rPr>
                <w:rFonts w:eastAsia="仿宋_GB2312"/>
                <w:kern w:val="0"/>
                <w:szCs w:val="21"/>
              </w:rPr>
            </w:pPr>
            <w:r>
              <w:rPr>
                <w:rFonts w:hint="eastAsia" w:eastAsia="仿宋_GB2312"/>
                <w:kern w:val="0"/>
                <w:szCs w:val="21"/>
              </w:rPr>
              <w:t>　775.22</w:t>
            </w:r>
          </w:p>
        </w:tc>
      </w:tr>
      <w:tr w14:paraId="2CD44B08">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3DAB058A">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、业务工作经费</w:t>
            </w:r>
          </w:p>
        </w:tc>
        <w:tc>
          <w:tcPr>
            <w:tcW w:w="2038" w:type="dxa"/>
            <w:gridSpan w:val="2"/>
            <w:tcBorders>
              <w:top w:val="single" w:color="auto" w:sz="4" w:space="0"/>
              <w:left w:val="nil"/>
              <w:bottom w:val="single" w:color="auto" w:sz="4" w:space="0"/>
              <w:right w:val="single" w:color="000000" w:sz="4" w:space="0"/>
            </w:tcBorders>
            <w:vAlign w:val="center"/>
          </w:tcPr>
          <w:p w14:paraId="39810A24">
            <w:pPr>
              <w:widowControl/>
              <w:jc w:val="center"/>
              <w:rPr>
                <w:rFonts w:eastAsia="仿宋_GB2312"/>
                <w:color w:val="0000FF"/>
                <w:kern w:val="0"/>
                <w:szCs w:val="21"/>
                <w:highlight w:val="yellow"/>
              </w:rPr>
            </w:pPr>
            <w:r>
              <w:rPr>
                <w:rFonts w:hint="eastAsia" w:eastAsia="仿宋_GB2312"/>
                <w:kern w:val="0"/>
                <w:szCs w:val="21"/>
              </w:rPr>
              <w:t>930.09</w:t>
            </w:r>
          </w:p>
        </w:tc>
        <w:tc>
          <w:tcPr>
            <w:tcW w:w="2240" w:type="dxa"/>
            <w:gridSpan w:val="2"/>
            <w:tcBorders>
              <w:top w:val="single" w:color="auto" w:sz="4" w:space="0"/>
              <w:left w:val="nil"/>
              <w:bottom w:val="single" w:color="auto" w:sz="4" w:space="0"/>
              <w:right w:val="single" w:color="000000" w:sz="4" w:space="0"/>
            </w:tcBorders>
            <w:vAlign w:val="center"/>
          </w:tcPr>
          <w:p w14:paraId="04F199F4">
            <w:pPr>
              <w:widowControl/>
              <w:jc w:val="center"/>
              <w:rPr>
                <w:rFonts w:eastAsia="仿宋_GB2312"/>
                <w:color w:val="0000FF"/>
                <w:kern w:val="0"/>
                <w:szCs w:val="21"/>
              </w:rPr>
            </w:pPr>
            <w:r>
              <w:rPr>
                <w:rFonts w:hint="eastAsia" w:eastAsia="仿宋_GB2312"/>
                <w:kern w:val="0"/>
                <w:szCs w:val="21"/>
              </w:rPr>
              <w:t>736.88</w:t>
            </w:r>
          </w:p>
        </w:tc>
        <w:tc>
          <w:tcPr>
            <w:tcW w:w="1832" w:type="dxa"/>
            <w:gridSpan w:val="2"/>
            <w:tcBorders>
              <w:top w:val="single" w:color="auto" w:sz="4" w:space="0"/>
              <w:left w:val="nil"/>
              <w:bottom w:val="single" w:color="auto" w:sz="4" w:space="0"/>
              <w:right w:val="single" w:color="000000" w:sz="4" w:space="0"/>
            </w:tcBorders>
            <w:vAlign w:val="center"/>
          </w:tcPr>
          <w:p w14:paraId="7AF4B4E2">
            <w:pPr>
              <w:widowControl/>
              <w:jc w:val="center"/>
              <w:rPr>
                <w:rFonts w:eastAsia="仿宋_GB2312"/>
                <w:kern w:val="0"/>
                <w:szCs w:val="21"/>
              </w:rPr>
            </w:pPr>
            <w:r>
              <w:rPr>
                <w:rFonts w:hint="eastAsia" w:eastAsia="仿宋_GB2312"/>
                <w:kern w:val="0"/>
                <w:szCs w:val="21"/>
              </w:rPr>
              <w:t>736.88</w:t>
            </w:r>
          </w:p>
        </w:tc>
      </w:tr>
      <w:tr w14:paraId="4497A6F0">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4A2FD148">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、运行维护经费</w:t>
            </w:r>
          </w:p>
        </w:tc>
        <w:tc>
          <w:tcPr>
            <w:tcW w:w="2038" w:type="dxa"/>
            <w:gridSpan w:val="2"/>
            <w:tcBorders>
              <w:top w:val="single" w:color="auto" w:sz="4" w:space="0"/>
              <w:left w:val="nil"/>
              <w:bottom w:val="single" w:color="auto" w:sz="4" w:space="0"/>
              <w:right w:val="single" w:color="000000" w:sz="4" w:space="0"/>
            </w:tcBorders>
            <w:vAlign w:val="center"/>
          </w:tcPr>
          <w:p w14:paraId="17734656">
            <w:pPr>
              <w:widowControl/>
              <w:jc w:val="center"/>
              <w:rPr>
                <w:rFonts w:eastAsia="仿宋_GB2312"/>
                <w:color w:val="0000FF"/>
                <w:kern w:val="0"/>
                <w:szCs w:val="21"/>
                <w:highlight w:val="yellow"/>
              </w:rPr>
            </w:pPr>
            <w:r>
              <w:rPr>
                <w:rFonts w:hint="eastAsia" w:eastAsia="仿宋_GB2312"/>
                <w:kern w:val="0"/>
                <w:szCs w:val="21"/>
              </w:rPr>
              <w:t>　15.31</w:t>
            </w:r>
          </w:p>
        </w:tc>
        <w:tc>
          <w:tcPr>
            <w:tcW w:w="2240" w:type="dxa"/>
            <w:gridSpan w:val="2"/>
            <w:tcBorders>
              <w:top w:val="single" w:color="auto" w:sz="4" w:space="0"/>
              <w:left w:val="nil"/>
              <w:bottom w:val="single" w:color="auto" w:sz="4" w:space="0"/>
              <w:right w:val="single" w:color="000000" w:sz="4" w:space="0"/>
            </w:tcBorders>
            <w:vAlign w:val="center"/>
          </w:tcPr>
          <w:p w14:paraId="0C7ACFC8">
            <w:pPr>
              <w:widowControl/>
              <w:jc w:val="center"/>
              <w:rPr>
                <w:rFonts w:eastAsia="仿宋_GB2312"/>
                <w:color w:val="0000FF"/>
                <w:kern w:val="0"/>
                <w:szCs w:val="21"/>
              </w:rPr>
            </w:pPr>
            <w:r>
              <w:rPr>
                <w:rFonts w:hint="eastAsia" w:eastAsia="仿宋_GB2312"/>
                <w:kern w:val="0"/>
                <w:szCs w:val="21"/>
              </w:rPr>
              <w:t>　38.34</w:t>
            </w:r>
          </w:p>
        </w:tc>
        <w:tc>
          <w:tcPr>
            <w:tcW w:w="1832" w:type="dxa"/>
            <w:gridSpan w:val="2"/>
            <w:tcBorders>
              <w:top w:val="single" w:color="auto" w:sz="4" w:space="0"/>
              <w:left w:val="nil"/>
              <w:bottom w:val="single" w:color="auto" w:sz="4" w:space="0"/>
              <w:right w:val="single" w:color="000000" w:sz="4" w:space="0"/>
            </w:tcBorders>
            <w:vAlign w:val="center"/>
          </w:tcPr>
          <w:p w14:paraId="7AE3CAF0">
            <w:pPr>
              <w:widowControl/>
              <w:jc w:val="center"/>
              <w:rPr>
                <w:rFonts w:eastAsia="仿宋_GB2312"/>
                <w:kern w:val="0"/>
                <w:szCs w:val="21"/>
              </w:rPr>
            </w:pPr>
            <w:r>
              <w:rPr>
                <w:rFonts w:hint="eastAsia" w:eastAsia="仿宋_GB2312"/>
                <w:kern w:val="0"/>
                <w:szCs w:val="21"/>
              </w:rPr>
              <w:t>　38.34</w:t>
            </w:r>
          </w:p>
        </w:tc>
      </w:tr>
      <w:tr w14:paraId="6379884E">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40FB49BB">
            <w:pPr>
              <w:widowControl/>
              <w:jc w:val="center"/>
              <w:rPr>
                <w:rFonts w:eastAsia="仿宋_GB2312"/>
                <w:kern w:val="0"/>
                <w:szCs w:val="21"/>
              </w:rPr>
            </w:pP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14:paraId="0FFDBA43">
            <w:pPr>
              <w:widowControl/>
              <w:jc w:val="center"/>
              <w:rPr>
                <w:rFonts w:eastAsia="仿宋_GB2312"/>
                <w:color w:val="0000FF"/>
                <w:kern w:val="0"/>
                <w:szCs w:val="21"/>
                <w:highlight w:val="yellow"/>
              </w:rPr>
            </w:pPr>
          </w:p>
        </w:tc>
        <w:tc>
          <w:tcPr>
            <w:tcW w:w="2240" w:type="dxa"/>
            <w:gridSpan w:val="2"/>
            <w:tcBorders>
              <w:top w:val="single" w:color="auto" w:sz="4" w:space="0"/>
              <w:left w:val="nil"/>
              <w:bottom w:val="single" w:color="auto" w:sz="4" w:space="0"/>
              <w:right w:val="single" w:color="000000" w:sz="4" w:space="0"/>
            </w:tcBorders>
            <w:vAlign w:val="center"/>
          </w:tcPr>
          <w:p w14:paraId="68444E0B">
            <w:pPr>
              <w:widowControl/>
              <w:jc w:val="center"/>
              <w:rPr>
                <w:rFonts w:eastAsia="仿宋_GB2312"/>
                <w:color w:val="0000FF"/>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14:paraId="11529698">
            <w:pPr>
              <w:widowControl/>
              <w:jc w:val="center"/>
              <w:rPr>
                <w:rFonts w:eastAsia="仿宋_GB2312"/>
                <w:kern w:val="0"/>
                <w:szCs w:val="21"/>
              </w:rPr>
            </w:pPr>
          </w:p>
        </w:tc>
      </w:tr>
      <w:tr w14:paraId="2E37CA25">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6BD96E74">
            <w:pPr>
              <w:widowControl/>
              <w:jc w:val="left"/>
              <w:rPr>
                <w:rFonts w:eastAsia="仿宋_GB2312"/>
                <w:kern w:val="0"/>
                <w:szCs w:val="21"/>
              </w:rPr>
            </w:pPr>
            <w:r>
              <w:rPr>
                <w:rFonts w:eastAsia="仿宋_GB2312"/>
                <w:kern w:val="0"/>
                <w:szCs w:val="21"/>
              </w:rPr>
              <w:t>3</w:t>
            </w:r>
            <w:r>
              <w:rPr>
                <w:rFonts w:hint="eastAsia" w:eastAsia="仿宋_GB2312"/>
                <w:kern w:val="0"/>
                <w:szCs w:val="21"/>
              </w:rPr>
              <w:t>、省级专项资金（一个专项一行）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14:paraId="18BE53CB">
            <w:pPr>
              <w:widowControl/>
              <w:jc w:val="center"/>
              <w:rPr>
                <w:rFonts w:eastAsia="仿宋_GB2312"/>
                <w:color w:val="0000FF"/>
                <w:kern w:val="0"/>
                <w:szCs w:val="21"/>
                <w:highlight w:val="yellow"/>
              </w:rPr>
            </w:pPr>
            <w:r>
              <w:rPr>
                <w:rFonts w:hint="eastAsia" w:eastAsia="仿宋_GB2312"/>
                <w:kern w:val="0"/>
                <w:szCs w:val="21"/>
              </w:rPr>
              <w:t>无</w:t>
            </w:r>
            <w:r>
              <w:rPr>
                <w:rFonts w:hint="eastAsia" w:eastAsia="仿宋_GB2312"/>
                <w:color w:val="0000FF"/>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1AAD8F1F">
            <w:pPr>
              <w:widowControl/>
              <w:jc w:val="center"/>
              <w:rPr>
                <w:rFonts w:eastAsia="仿宋_GB2312"/>
                <w:color w:val="0000FF"/>
                <w:kern w:val="0"/>
                <w:szCs w:val="21"/>
              </w:rPr>
            </w:pPr>
            <w:r>
              <w:rPr>
                <w:rFonts w:hint="eastAsia" w:ascii="Times New Roman" w:hAnsi="Times New Roman" w:eastAsia="仿宋_GB2312" w:cs="Times New Roman"/>
                <w:kern w:val="0"/>
                <w:szCs w:val="21"/>
              </w:rPr>
              <w:t>无</w:t>
            </w:r>
          </w:p>
        </w:tc>
        <w:tc>
          <w:tcPr>
            <w:tcW w:w="1832" w:type="dxa"/>
            <w:gridSpan w:val="2"/>
            <w:tcBorders>
              <w:top w:val="single" w:color="auto" w:sz="4" w:space="0"/>
              <w:left w:val="nil"/>
              <w:bottom w:val="single" w:color="auto" w:sz="4" w:space="0"/>
              <w:right w:val="single" w:color="000000" w:sz="4" w:space="0"/>
            </w:tcBorders>
            <w:vAlign w:val="center"/>
          </w:tcPr>
          <w:p w14:paraId="5E5F1A35">
            <w:pPr>
              <w:widowControl/>
              <w:jc w:val="center"/>
              <w:rPr>
                <w:rFonts w:eastAsia="仿宋_GB2312"/>
                <w:kern w:val="0"/>
                <w:szCs w:val="21"/>
              </w:rPr>
            </w:pPr>
            <w:r>
              <w:rPr>
                <w:rFonts w:hint="eastAsia" w:eastAsia="仿宋_GB2312"/>
                <w:kern w:val="0"/>
                <w:szCs w:val="21"/>
              </w:rPr>
              <w:t>无</w:t>
            </w:r>
          </w:p>
        </w:tc>
      </w:tr>
      <w:tr w14:paraId="6F314828">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28D528B2">
            <w:pPr>
              <w:widowControl/>
              <w:jc w:val="center"/>
              <w:rPr>
                <w:rFonts w:eastAsia="仿宋_GB2312"/>
                <w:kern w:val="0"/>
                <w:szCs w:val="21"/>
              </w:rPr>
            </w:pP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14:paraId="06DAF217">
            <w:pPr>
              <w:widowControl/>
              <w:jc w:val="center"/>
              <w:rPr>
                <w:rFonts w:eastAsia="仿宋_GB2312"/>
                <w:color w:val="0000FF"/>
                <w:kern w:val="0"/>
                <w:szCs w:val="21"/>
                <w:highlight w:val="yellow"/>
              </w:rPr>
            </w:pPr>
          </w:p>
        </w:tc>
        <w:tc>
          <w:tcPr>
            <w:tcW w:w="2240" w:type="dxa"/>
            <w:gridSpan w:val="2"/>
            <w:tcBorders>
              <w:top w:val="single" w:color="auto" w:sz="4" w:space="0"/>
              <w:left w:val="nil"/>
              <w:bottom w:val="single" w:color="auto" w:sz="4" w:space="0"/>
              <w:right w:val="single" w:color="000000" w:sz="4" w:space="0"/>
            </w:tcBorders>
            <w:vAlign w:val="center"/>
          </w:tcPr>
          <w:p w14:paraId="267E36F2">
            <w:pPr>
              <w:widowControl/>
              <w:jc w:val="center"/>
              <w:rPr>
                <w:rFonts w:eastAsia="仿宋_GB2312"/>
                <w:color w:val="0000FF"/>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14:paraId="4F96192B">
            <w:pPr>
              <w:widowControl/>
              <w:jc w:val="center"/>
              <w:rPr>
                <w:rFonts w:eastAsia="仿宋_GB2312"/>
                <w:kern w:val="0"/>
                <w:szCs w:val="21"/>
              </w:rPr>
            </w:pPr>
          </w:p>
        </w:tc>
      </w:tr>
      <w:tr w14:paraId="4D58EE6E">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2FD860AC">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14:paraId="0BF686B8">
            <w:pPr>
              <w:widowControl/>
              <w:jc w:val="center"/>
              <w:rPr>
                <w:rFonts w:eastAsia="仿宋_GB2312"/>
                <w:color w:val="0000FF"/>
                <w:kern w:val="0"/>
                <w:szCs w:val="21"/>
                <w:highlight w:val="yellow"/>
              </w:rPr>
            </w:pPr>
            <w:r>
              <w:rPr>
                <w:rFonts w:hint="eastAsia" w:eastAsia="仿宋_GB2312"/>
                <w:kern w:val="0"/>
                <w:szCs w:val="21"/>
              </w:rPr>
              <w:t>　56.98</w:t>
            </w:r>
          </w:p>
        </w:tc>
        <w:tc>
          <w:tcPr>
            <w:tcW w:w="2240" w:type="dxa"/>
            <w:gridSpan w:val="2"/>
            <w:tcBorders>
              <w:top w:val="single" w:color="auto" w:sz="4" w:space="0"/>
              <w:left w:val="nil"/>
              <w:bottom w:val="single" w:color="auto" w:sz="4" w:space="0"/>
              <w:right w:val="single" w:color="000000" w:sz="4" w:space="0"/>
            </w:tcBorders>
            <w:vAlign w:val="center"/>
          </w:tcPr>
          <w:p w14:paraId="5D921136">
            <w:pPr>
              <w:widowControl/>
              <w:jc w:val="center"/>
              <w:rPr>
                <w:rFonts w:eastAsia="仿宋_GB2312"/>
                <w:color w:val="0000FF"/>
                <w:kern w:val="0"/>
                <w:szCs w:val="21"/>
              </w:rPr>
            </w:pPr>
            <w:r>
              <w:rPr>
                <w:rFonts w:hint="eastAsia" w:eastAsia="仿宋_GB2312"/>
                <w:kern w:val="0"/>
                <w:szCs w:val="21"/>
              </w:rPr>
              <w:t>　51</w:t>
            </w:r>
          </w:p>
        </w:tc>
        <w:tc>
          <w:tcPr>
            <w:tcW w:w="1832" w:type="dxa"/>
            <w:gridSpan w:val="2"/>
            <w:tcBorders>
              <w:top w:val="single" w:color="auto" w:sz="4" w:space="0"/>
              <w:left w:val="nil"/>
              <w:bottom w:val="single" w:color="auto" w:sz="4" w:space="0"/>
              <w:right w:val="single" w:color="000000" w:sz="4" w:space="0"/>
            </w:tcBorders>
            <w:vAlign w:val="center"/>
          </w:tcPr>
          <w:p w14:paraId="43858F0B">
            <w:pPr>
              <w:widowControl/>
              <w:jc w:val="center"/>
              <w:rPr>
                <w:rFonts w:eastAsia="仿宋_GB2312"/>
                <w:kern w:val="0"/>
                <w:szCs w:val="21"/>
              </w:rPr>
            </w:pPr>
            <w:r>
              <w:rPr>
                <w:rFonts w:hint="eastAsia" w:eastAsia="仿宋_GB2312"/>
                <w:kern w:val="0"/>
                <w:szCs w:val="21"/>
              </w:rPr>
              <w:t>　51</w:t>
            </w:r>
          </w:p>
        </w:tc>
      </w:tr>
      <w:tr w14:paraId="07E2FAE4">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34C5A98E">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vAlign w:val="center"/>
          </w:tcPr>
          <w:p w14:paraId="1C3EE179">
            <w:pPr>
              <w:widowControl/>
              <w:jc w:val="center"/>
              <w:rPr>
                <w:rFonts w:eastAsia="仿宋_GB2312"/>
                <w:color w:val="0000FF"/>
                <w:kern w:val="0"/>
                <w:szCs w:val="21"/>
                <w:highlight w:val="yellow"/>
              </w:rPr>
            </w:pPr>
            <w:r>
              <w:rPr>
                <w:rFonts w:hint="eastAsia" w:eastAsia="仿宋_GB2312"/>
                <w:kern w:val="0"/>
                <w:szCs w:val="21"/>
              </w:rPr>
              <w:t>0</w:t>
            </w:r>
          </w:p>
        </w:tc>
        <w:tc>
          <w:tcPr>
            <w:tcW w:w="2240" w:type="dxa"/>
            <w:gridSpan w:val="2"/>
            <w:tcBorders>
              <w:top w:val="single" w:color="auto" w:sz="4" w:space="0"/>
              <w:left w:val="nil"/>
              <w:bottom w:val="single" w:color="auto" w:sz="4" w:space="0"/>
              <w:right w:val="single" w:color="000000" w:sz="4" w:space="0"/>
            </w:tcBorders>
            <w:vAlign w:val="center"/>
          </w:tcPr>
          <w:p w14:paraId="3564C692">
            <w:pPr>
              <w:widowControl/>
              <w:jc w:val="center"/>
              <w:rPr>
                <w:rFonts w:eastAsia="仿宋_GB2312"/>
                <w:color w:val="0000FF"/>
                <w:kern w:val="0"/>
                <w:szCs w:val="21"/>
              </w:rPr>
            </w:pPr>
            <w:r>
              <w:rPr>
                <w:rFonts w:hint="eastAsia"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vAlign w:val="center"/>
          </w:tcPr>
          <w:p w14:paraId="3E90D76C">
            <w:pPr>
              <w:widowControl/>
              <w:jc w:val="center"/>
              <w:rPr>
                <w:rFonts w:eastAsia="仿宋_GB2312"/>
                <w:kern w:val="0"/>
                <w:szCs w:val="21"/>
              </w:rPr>
            </w:pPr>
            <w:r>
              <w:rPr>
                <w:rFonts w:hint="eastAsia" w:eastAsia="仿宋_GB2312"/>
                <w:kern w:val="0"/>
                <w:szCs w:val="21"/>
              </w:rPr>
              <w:t>0</w:t>
            </w:r>
          </w:p>
        </w:tc>
      </w:tr>
      <w:tr w14:paraId="25338974">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11A16AE1">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14:paraId="77789839">
            <w:pPr>
              <w:widowControl/>
              <w:jc w:val="center"/>
              <w:rPr>
                <w:rFonts w:eastAsia="仿宋_GB2312"/>
                <w:color w:val="0000FF"/>
                <w:kern w:val="0"/>
                <w:szCs w:val="21"/>
                <w:highlight w:val="yellow"/>
              </w:rPr>
            </w:pPr>
            <w:r>
              <w:rPr>
                <w:rFonts w:hint="eastAsia" w:eastAsia="仿宋_GB2312"/>
                <w:kern w:val="0"/>
                <w:szCs w:val="21"/>
              </w:rPr>
              <w:t>0</w:t>
            </w:r>
          </w:p>
        </w:tc>
        <w:tc>
          <w:tcPr>
            <w:tcW w:w="2240" w:type="dxa"/>
            <w:gridSpan w:val="2"/>
            <w:tcBorders>
              <w:top w:val="single" w:color="auto" w:sz="4" w:space="0"/>
              <w:left w:val="nil"/>
              <w:bottom w:val="single" w:color="auto" w:sz="4" w:space="0"/>
              <w:right w:val="single" w:color="000000" w:sz="4" w:space="0"/>
            </w:tcBorders>
            <w:vAlign w:val="center"/>
          </w:tcPr>
          <w:p w14:paraId="024CBCCB">
            <w:pPr>
              <w:widowControl/>
              <w:jc w:val="center"/>
              <w:rPr>
                <w:rFonts w:eastAsia="仿宋_GB2312"/>
                <w:color w:val="0000FF"/>
                <w:kern w:val="0"/>
                <w:szCs w:val="21"/>
              </w:rPr>
            </w:pPr>
            <w:r>
              <w:rPr>
                <w:rFonts w:hint="eastAsia" w:eastAsia="仿宋_GB2312"/>
                <w:kern w:val="0"/>
                <w:szCs w:val="21"/>
              </w:rPr>
              <w:t>2</w:t>
            </w:r>
          </w:p>
        </w:tc>
        <w:tc>
          <w:tcPr>
            <w:tcW w:w="1832" w:type="dxa"/>
            <w:gridSpan w:val="2"/>
            <w:tcBorders>
              <w:top w:val="single" w:color="auto" w:sz="4" w:space="0"/>
              <w:left w:val="nil"/>
              <w:bottom w:val="single" w:color="auto" w:sz="4" w:space="0"/>
              <w:right w:val="single" w:color="000000" w:sz="4" w:space="0"/>
            </w:tcBorders>
            <w:vAlign w:val="center"/>
          </w:tcPr>
          <w:p w14:paraId="17E10806">
            <w:pPr>
              <w:widowControl/>
              <w:jc w:val="center"/>
              <w:rPr>
                <w:rFonts w:eastAsia="仿宋_GB2312"/>
                <w:kern w:val="0"/>
                <w:szCs w:val="21"/>
              </w:rPr>
            </w:pPr>
            <w:r>
              <w:rPr>
                <w:rFonts w:hint="eastAsia" w:eastAsia="仿宋_GB2312"/>
                <w:kern w:val="0"/>
                <w:szCs w:val="21"/>
              </w:rPr>
              <w:t>2</w:t>
            </w:r>
          </w:p>
        </w:tc>
      </w:tr>
      <w:tr w14:paraId="01ECC23C">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29D80B8F">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vAlign w:val="center"/>
          </w:tcPr>
          <w:p w14:paraId="3DD95AB1">
            <w:pPr>
              <w:widowControl/>
              <w:jc w:val="center"/>
              <w:rPr>
                <w:rFonts w:eastAsia="仿宋_GB2312"/>
                <w:color w:val="0000FF"/>
                <w:kern w:val="0"/>
                <w:szCs w:val="21"/>
                <w:highlight w:val="yellow"/>
              </w:rPr>
            </w:pPr>
            <w:r>
              <w:rPr>
                <w:rFonts w:hint="eastAsia" w:eastAsia="仿宋_GB2312"/>
                <w:kern w:val="0"/>
                <w:szCs w:val="21"/>
              </w:rPr>
              <w:t>0</w:t>
            </w:r>
          </w:p>
        </w:tc>
        <w:tc>
          <w:tcPr>
            <w:tcW w:w="2240" w:type="dxa"/>
            <w:gridSpan w:val="2"/>
            <w:tcBorders>
              <w:top w:val="single" w:color="auto" w:sz="4" w:space="0"/>
              <w:left w:val="nil"/>
              <w:bottom w:val="single" w:color="auto" w:sz="4" w:space="0"/>
              <w:right w:val="single" w:color="000000" w:sz="4" w:space="0"/>
            </w:tcBorders>
            <w:vAlign w:val="center"/>
          </w:tcPr>
          <w:p w14:paraId="1CE94417">
            <w:pPr>
              <w:widowControl/>
              <w:jc w:val="center"/>
              <w:rPr>
                <w:rFonts w:eastAsia="仿宋_GB2312"/>
                <w:color w:val="0000FF"/>
                <w:kern w:val="0"/>
                <w:szCs w:val="21"/>
              </w:rPr>
            </w:pPr>
            <w:r>
              <w:rPr>
                <w:rFonts w:hint="eastAsia"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vAlign w:val="center"/>
          </w:tcPr>
          <w:p w14:paraId="222B810F">
            <w:pPr>
              <w:widowControl/>
              <w:jc w:val="center"/>
              <w:rPr>
                <w:rFonts w:eastAsia="仿宋_GB2312"/>
                <w:kern w:val="0"/>
                <w:szCs w:val="21"/>
              </w:rPr>
            </w:pPr>
            <w:r>
              <w:rPr>
                <w:rFonts w:hint="eastAsia" w:eastAsia="仿宋_GB2312"/>
                <w:kern w:val="0"/>
                <w:szCs w:val="21"/>
              </w:rPr>
              <w:t>0</w:t>
            </w:r>
          </w:p>
        </w:tc>
      </w:tr>
      <w:tr w14:paraId="15EDE016">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247DAF18">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14:paraId="13B69465">
            <w:pPr>
              <w:widowControl/>
              <w:jc w:val="center"/>
              <w:rPr>
                <w:rFonts w:eastAsia="仿宋_GB2312"/>
                <w:color w:val="0000FF"/>
                <w:kern w:val="0"/>
                <w:szCs w:val="21"/>
                <w:highlight w:val="yellow"/>
              </w:rPr>
            </w:pPr>
            <w:r>
              <w:rPr>
                <w:rFonts w:hint="eastAsia" w:eastAsia="仿宋_GB2312"/>
                <w:kern w:val="0"/>
                <w:szCs w:val="21"/>
              </w:rPr>
              <w:t>15.31</w:t>
            </w:r>
          </w:p>
        </w:tc>
        <w:tc>
          <w:tcPr>
            <w:tcW w:w="2240" w:type="dxa"/>
            <w:gridSpan w:val="2"/>
            <w:tcBorders>
              <w:top w:val="single" w:color="auto" w:sz="4" w:space="0"/>
              <w:left w:val="nil"/>
              <w:bottom w:val="single" w:color="auto" w:sz="4" w:space="0"/>
              <w:right w:val="single" w:color="000000" w:sz="4" w:space="0"/>
            </w:tcBorders>
            <w:vAlign w:val="center"/>
          </w:tcPr>
          <w:p w14:paraId="1C946F10">
            <w:pPr>
              <w:widowControl/>
              <w:jc w:val="center"/>
              <w:rPr>
                <w:rFonts w:eastAsia="仿宋_GB2312"/>
                <w:color w:val="0000FF"/>
                <w:kern w:val="0"/>
                <w:szCs w:val="21"/>
              </w:rPr>
            </w:pPr>
            <w:r>
              <w:rPr>
                <w:rFonts w:hint="eastAsia" w:eastAsia="仿宋_GB2312"/>
                <w:kern w:val="0"/>
                <w:szCs w:val="21"/>
              </w:rPr>
              <w:t>15.31</w:t>
            </w:r>
          </w:p>
        </w:tc>
        <w:tc>
          <w:tcPr>
            <w:tcW w:w="1832" w:type="dxa"/>
            <w:gridSpan w:val="2"/>
            <w:tcBorders>
              <w:top w:val="single" w:color="auto" w:sz="4" w:space="0"/>
              <w:left w:val="nil"/>
              <w:bottom w:val="single" w:color="auto" w:sz="4" w:space="0"/>
              <w:right w:val="single" w:color="000000" w:sz="4" w:space="0"/>
            </w:tcBorders>
            <w:vAlign w:val="center"/>
          </w:tcPr>
          <w:p w14:paraId="68B5BA92">
            <w:pPr>
              <w:widowControl/>
              <w:jc w:val="center"/>
              <w:rPr>
                <w:rFonts w:eastAsia="仿宋_GB2312"/>
                <w:kern w:val="0"/>
                <w:szCs w:val="21"/>
              </w:rPr>
            </w:pPr>
            <w:r>
              <w:rPr>
                <w:rFonts w:hint="eastAsia" w:eastAsia="仿宋_GB2312"/>
                <w:kern w:val="0"/>
                <w:szCs w:val="21"/>
              </w:rPr>
              <w:t>15.31</w:t>
            </w:r>
          </w:p>
        </w:tc>
      </w:tr>
      <w:tr w14:paraId="3C2A4166">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7E90A9A2">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vAlign w:val="center"/>
          </w:tcPr>
          <w:p w14:paraId="3ABBD1EC">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14:paraId="273D4833">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559F0500">
            <w:pPr>
              <w:widowControl/>
              <w:jc w:val="center"/>
              <w:rPr>
                <w:rFonts w:eastAsia="仿宋_GB2312"/>
                <w:kern w:val="0"/>
                <w:szCs w:val="21"/>
              </w:rPr>
            </w:pPr>
            <w:r>
              <w:rPr>
                <w:rFonts w:hint="eastAsia" w:eastAsia="仿宋_GB2312"/>
                <w:kern w:val="0"/>
                <w:szCs w:val="21"/>
              </w:rPr>
              <w:t>　</w:t>
            </w:r>
          </w:p>
        </w:tc>
      </w:tr>
      <w:tr w14:paraId="24816046">
        <w:tblPrEx>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vAlign w:val="center"/>
          </w:tcPr>
          <w:p w14:paraId="0DB807EC">
            <w:pPr>
              <w:widowControl/>
              <w:jc w:val="center"/>
              <w:rPr>
                <w:rFonts w:eastAsia="仿宋_GB2312"/>
                <w:kern w:val="0"/>
                <w:szCs w:val="21"/>
              </w:rPr>
            </w:pPr>
            <w:r>
              <w:rPr>
                <w:rFonts w:hint="eastAsia" w:eastAsia="仿宋_GB2312"/>
                <w:kern w:val="0"/>
                <w:szCs w:val="21"/>
              </w:rPr>
              <w:t>楼堂馆所控制情况</w:t>
            </w:r>
          </w:p>
          <w:p w14:paraId="2C17E20D">
            <w:pPr>
              <w:widowControl/>
              <w:jc w:val="center"/>
              <w:rPr>
                <w:rFonts w:eastAsia="仿宋_GB2312"/>
                <w:kern w:val="0"/>
                <w:szCs w:val="21"/>
              </w:rPr>
            </w:pPr>
            <w:r>
              <w:rPr>
                <w:rFonts w:hint="eastAsia" w:eastAsia="仿宋_GB2312"/>
                <w:kern w:val="0"/>
                <w:szCs w:val="21"/>
              </w:rPr>
              <w:t>（2021年完工项目）</w:t>
            </w:r>
          </w:p>
        </w:tc>
        <w:tc>
          <w:tcPr>
            <w:tcW w:w="1189" w:type="dxa"/>
            <w:tcBorders>
              <w:top w:val="nil"/>
              <w:left w:val="nil"/>
              <w:bottom w:val="single" w:color="auto" w:sz="4" w:space="0"/>
              <w:right w:val="single" w:color="auto" w:sz="4" w:space="0"/>
            </w:tcBorders>
            <w:vAlign w:val="center"/>
          </w:tcPr>
          <w:p w14:paraId="7628E4E2">
            <w:pPr>
              <w:widowControl/>
              <w:spacing w:line="240" w:lineRule="exact"/>
              <w:jc w:val="center"/>
              <w:rPr>
                <w:rFonts w:eastAsia="仿宋_GB2312"/>
                <w:bCs/>
                <w:kern w:val="0"/>
                <w:szCs w:val="21"/>
              </w:rPr>
            </w:pPr>
            <w:r>
              <w:rPr>
                <w:rFonts w:hint="eastAsia" w:eastAsia="仿宋_GB2312"/>
                <w:bCs/>
                <w:kern w:val="0"/>
                <w:szCs w:val="21"/>
              </w:rPr>
              <w:t>批复规模</w:t>
            </w:r>
          </w:p>
          <w:p w14:paraId="4DB4B555">
            <w:pPr>
              <w:widowControl/>
              <w:spacing w:line="240" w:lineRule="exact"/>
              <w:jc w:val="center"/>
              <w:rPr>
                <w:rFonts w:eastAsia="仿宋_GB2312"/>
                <w:bCs/>
                <w:kern w:val="0"/>
                <w:szCs w:val="21"/>
              </w:rPr>
            </w:pPr>
            <w:r>
              <w:rPr>
                <w:rFonts w:hint="eastAsia" w:eastAsia="仿宋_GB2312"/>
                <w:bCs/>
                <w:kern w:val="0"/>
                <w:szCs w:val="21"/>
              </w:rPr>
              <w:t>（</w:t>
            </w:r>
            <w:r>
              <w:rPr>
                <w:rFonts w:hint="eastAsia"/>
                <w:bCs/>
                <w:kern w:val="0"/>
                <w:szCs w:val="21"/>
              </w:rPr>
              <w:t>㎡</w:t>
            </w:r>
            <w:r>
              <w:rPr>
                <w:rFonts w:hint="eastAsia" w:eastAsia="仿宋_GB2312"/>
                <w:bCs/>
                <w:kern w:val="0"/>
                <w:szCs w:val="21"/>
              </w:rPr>
              <w:t>）</w:t>
            </w:r>
          </w:p>
        </w:tc>
        <w:tc>
          <w:tcPr>
            <w:tcW w:w="849" w:type="dxa"/>
            <w:tcBorders>
              <w:top w:val="nil"/>
              <w:left w:val="nil"/>
              <w:bottom w:val="single" w:color="auto" w:sz="4" w:space="0"/>
              <w:right w:val="single" w:color="auto" w:sz="4" w:space="0"/>
            </w:tcBorders>
            <w:vAlign w:val="center"/>
          </w:tcPr>
          <w:p w14:paraId="46D87F92">
            <w:pPr>
              <w:widowControl/>
              <w:spacing w:line="240" w:lineRule="exact"/>
              <w:jc w:val="center"/>
              <w:rPr>
                <w:rFonts w:eastAsia="仿宋_GB2312"/>
                <w:bCs/>
                <w:kern w:val="0"/>
                <w:szCs w:val="21"/>
              </w:rPr>
            </w:pPr>
            <w:r>
              <w:rPr>
                <w:rFonts w:hint="eastAsia" w:eastAsia="仿宋_GB2312"/>
                <w:bCs/>
                <w:kern w:val="0"/>
                <w:szCs w:val="21"/>
              </w:rPr>
              <w:t>实际规模（</w:t>
            </w:r>
            <w:r>
              <w:rPr>
                <w:rFonts w:hint="eastAsia"/>
                <w:bCs/>
                <w:kern w:val="0"/>
                <w:szCs w:val="21"/>
              </w:rPr>
              <w:t>㎡</w:t>
            </w:r>
            <w:r>
              <w:rPr>
                <w:rFonts w:hint="eastAsia" w:eastAsia="仿宋_GB2312"/>
                <w:bCs/>
                <w:kern w:val="0"/>
                <w:szCs w:val="21"/>
              </w:rPr>
              <w:t>）</w:t>
            </w:r>
          </w:p>
        </w:tc>
        <w:tc>
          <w:tcPr>
            <w:tcW w:w="1129" w:type="dxa"/>
            <w:tcBorders>
              <w:top w:val="nil"/>
              <w:left w:val="nil"/>
              <w:bottom w:val="single" w:color="auto" w:sz="4" w:space="0"/>
              <w:right w:val="single" w:color="auto" w:sz="4" w:space="0"/>
            </w:tcBorders>
            <w:vAlign w:val="center"/>
          </w:tcPr>
          <w:p w14:paraId="17306FF8">
            <w:pPr>
              <w:widowControl/>
              <w:spacing w:line="240" w:lineRule="exact"/>
              <w:jc w:val="center"/>
              <w:rPr>
                <w:rFonts w:eastAsia="仿宋_GB2312"/>
                <w:bCs/>
                <w:kern w:val="0"/>
                <w:szCs w:val="21"/>
              </w:rPr>
            </w:pPr>
            <w:r>
              <w:rPr>
                <w:rFonts w:hint="eastAsia" w:eastAsia="仿宋_GB2312"/>
                <w:bCs/>
                <w:kern w:val="0"/>
                <w:szCs w:val="21"/>
              </w:rPr>
              <w:t>规模控制率</w:t>
            </w:r>
          </w:p>
        </w:tc>
        <w:tc>
          <w:tcPr>
            <w:tcW w:w="1111" w:type="dxa"/>
            <w:tcBorders>
              <w:top w:val="nil"/>
              <w:left w:val="nil"/>
              <w:bottom w:val="single" w:color="auto" w:sz="4" w:space="0"/>
              <w:right w:val="single" w:color="auto" w:sz="4" w:space="0"/>
            </w:tcBorders>
            <w:vAlign w:val="center"/>
          </w:tcPr>
          <w:p w14:paraId="62640251">
            <w:pPr>
              <w:widowControl/>
              <w:spacing w:line="240" w:lineRule="exact"/>
              <w:jc w:val="center"/>
              <w:rPr>
                <w:rFonts w:eastAsia="仿宋_GB2312"/>
                <w:bCs/>
                <w:kern w:val="0"/>
                <w:szCs w:val="21"/>
              </w:rPr>
            </w:pPr>
            <w:r>
              <w:rPr>
                <w:rFonts w:hint="eastAsia" w:eastAsia="仿宋_GB2312"/>
                <w:bCs/>
                <w:kern w:val="0"/>
                <w:szCs w:val="21"/>
              </w:rPr>
              <w:t>预算投资（万元）</w:t>
            </w:r>
          </w:p>
        </w:tc>
        <w:tc>
          <w:tcPr>
            <w:tcW w:w="969" w:type="dxa"/>
            <w:tcBorders>
              <w:top w:val="nil"/>
              <w:left w:val="nil"/>
              <w:bottom w:val="single" w:color="auto" w:sz="4" w:space="0"/>
              <w:right w:val="single" w:color="auto" w:sz="4" w:space="0"/>
            </w:tcBorders>
            <w:vAlign w:val="center"/>
          </w:tcPr>
          <w:p w14:paraId="0A28B561">
            <w:pPr>
              <w:widowControl/>
              <w:spacing w:line="240" w:lineRule="exact"/>
              <w:jc w:val="center"/>
              <w:rPr>
                <w:rFonts w:eastAsia="仿宋_GB2312"/>
                <w:bCs/>
                <w:kern w:val="0"/>
                <w:szCs w:val="21"/>
              </w:rPr>
            </w:pPr>
            <w:r>
              <w:rPr>
                <w:rFonts w:hint="eastAsia" w:eastAsia="仿宋_GB2312"/>
                <w:bCs/>
                <w:kern w:val="0"/>
                <w:szCs w:val="21"/>
              </w:rPr>
              <w:t>实际投资（万元）</w:t>
            </w:r>
          </w:p>
        </w:tc>
        <w:tc>
          <w:tcPr>
            <w:tcW w:w="863" w:type="dxa"/>
            <w:tcBorders>
              <w:top w:val="nil"/>
              <w:left w:val="nil"/>
              <w:bottom w:val="single" w:color="auto" w:sz="4" w:space="0"/>
              <w:right w:val="single" w:color="auto" w:sz="4" w:space="0"/>
            </w:tcBorders>
            <w:vAlign w:val="center"/>
          </w:tcPr>
          <w:p w14:paraId="359C28F2">
            <w:pPr>
              <w:widowControl/>
              <w:spacing w:line="240" w:lineRule="exact"/>
              <w:jc w:val="center"/>
              <w:rPr>
                <w:rFonts w:eastAsia="仿宋_GB2312"/>
                <w:bCs/>
                <w:kern w:val="0"/>
                <w:szCs w:val="21"/>
              </w:rPr>
            </w:pPr>
            <w:r>
              <w:rPr>
                <w:rFonts w:hint="eastAsia" w:eastAsia="仿宋_GB2312"/>
                <w:bCs/>
                <w:kern w:val="0"/>
                <w:szCs w:val="21"/>
              </w:rPr>
              <w:t>投资概算控制率</w:t>
            </w:r>
          </w:p>
        </w:tc>
      </w:tr>
      <w:tr w14:paraId="268A6C98">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14:paraId="0AC8BA50">
            <w:pPr>
              <w:widowControl/>
              <w:jc w:val="left"/>
              <w:rPr>
                <w:rFonts w:eastAsia="仿宋_GB2312"/>
                <w:kern w:val="0"/>
                <w:szCs w:val="21"/>
              </w:rPr>
            </w:pPr>
          </w:p>
        </w:tc>
        <w:tc>
          <w:tcPr>
            <w:tcW w:w="1189" w:type="dxa"/>
            <w:tcBorders>
              <w:top w:val="nil"/>
              <w:left w:val="nil"/>
              <w:bottom w:val="single" w:color="auto" w:sz="4" w:space="0"/>
              <w:right w:val="single" w:color="auto" w:sz="4" w:space="0"/>
            </w:tcBorders>
            <w:vAlign w:val="center"/>
          </w:tcPr>
          <w:p w14:paraId="1FDC735C">
            <w:pPr>
              <w:widowControl/>
              <w:jc w:val="center"/>
              <w:rPr>
                <w:rFonts w:eastAsia="仿宋_GB2312"/>
                <w:kern w:val="0"/>
                <w:szCs w:val="21"/>
              </w:rPr>
            </w:pPr>
            <w:r>
              <w:rPr>
                <w:rFonts w:hint="eastAsia" w:eastAsia="仿宋_GB2312"/>
                <w:kern w:val="0"/>
                <w:szCs w:val="21"/>
              </w:rPr>
              <w:t>无</w:t>
            </w:r>
          </w:p>
        </w:tc>
        <w:tc>
          <w:tcPr>
            <w:tcW w:w="849" w:type="dxa"/>
            <w:tcBorders>
              <w:top w:val="nil"/>
              <w:left w:val="nil"/>
              <w:bottom w:val="single" w:color="auto" w:sz="4" w:space="0"/>
              <w:right w:val="single" w:color="auto" w:sz="4" w:space="0"/>
            </w:tcBorders>
            <w:vAlign w:val="center"/>
          </w:tcPr>
          <w:p w14:paraId="5A63926D">
            <w:pPr>
              <w:widowControl/>
              <w:jc w:val="center"/>
              <w:rPr>
                <w:rFonts w:eastAsia="仿宋_GB2312"/>
                <w:kern w:val="0"/>
                <w:szCs w:val="21"/>
              </w:rPr>
            </w:pPr>
            <w:r>
              <w:rPr>
                <w:rFonts w:hint="eastAsia" w:eastAsia="仿宋_GB2312"/>
                <w:kern w:val="0"/>
                <w:szCs w:val="21"/>
              </w:rPr>
              <w:t>无</w:t>
            </w:r>
          </w:p>
        </w:tc>
        <w:tc>
          <w:tcPr>
            <w:tcW w:w="1129" w:type="dxa"/>
            <w:tcBorders>
              <w:top w:val="nil"/>
              <w:left w:val="nil"/>
              <w:bottom w:val="single" w:color="auto" w:sz="4" w:space="0"/>
              <w:right w:val="single" w:color="auto" w:sz="4" w:space="0"/>
            </w:tcBorders>
            <w:vAlign w:val="center"/>
          </w:tcPr>
          <w:p w14:paraId="7301DE1F">
            <w:pPr>
              <w:widowControl/>
              <w:jc w:val="center"/>
              <w:rPr>
                <w:rFonts w:eastAsia="仿宋_GB2312"/>
                <w:kern w:val="0"/>
                <w:szCs w:val="21"/>
              </w:rPr>
            </w:pPr>
            <w:r>
              <w:rPr>
                <w:rFonts w:hint="eastAsia" w:eastAsia="仿宋_GB2312"/>
                <w:kern w:val="0"/>
                <w:szCs w:val="21"/>
              </w:rPr>
              <w:t>无</w:t>
            </w:r>
          </w:p>
        </w:tc>
        <w:tc>
          <w:tcPr>
            <w:tcW w:w="1111" w:type="dxa"/>
            <w:tcBorders>
              <w:top w:val="nil"/>
              <w:left w:val="nil"/>
              <w:bottom w:val="single" w:color="auto" w:sz="4" w:space="0"/>
              <w:right w:val="single" w:color="auto" w:sz="4" w:space="0"/>
            </w:tcBorders>
            <w:vAlign w:val="center"/>
          </w:tcPr>
          <w:p w14:paraId="466D7C7D">
            <w:pPr>
              <w:widowControl/>
              <w:jc w:val="center"/>
              <w:rPr>
                <w:rFonts w:eastAsia="仿宋_GB2312"/>
                <w:kern w:val="0"/>
                <w:szCs w:val="21"/>
              </w:rPr>
            </w:pPr>
            <w:r>
              <w:rPr>
                <w:rFonts w:hint="eastAsia" w:eastAsia="仿宋_GB2312"/>
                <w:kern w:val="0"/>
                <w:szCs w:val="21"/>
              </w:rPr>
              <w:t>无</w:t>
            </w:r>
          </w:p>
        </w:tc>
        <w:tc>
          <w:tcPr>
            <w:tcW w:w="969" w:type="dxa"/>
            <w:tcBorders>
              <w:top w:val="nil"/>
              <w:left w:val="nil"/>
              <w:bottom w:val="single" w:color="auto" w:sz="4" w:space="0"/>
              <w:right w:val="single" w:color="auto" w:sz="4" w:space="0"/>
            </w:tcBorders>
            <w:vAlign w:val="center"/>
          </w:tcPr>
          <w:p w14:paraId="0EB50BAF">
            <w:pPr>
              <w:widowControl/>
              <w:jc w:val="center"/>
              <w:rPr>
                <w:rFonts w:eastAsia="仿宋_GB2312"/>
                <w:kern w:val="0"/>
                <w:szCs w:val="21"/>
              </w:rPr>
            </w:pPr>
            <w:r>
              <w:rPr>
                <w:rFonts w:hint="eastAsia" w:eastAsia="仿宋_GB2312"/>
                <w:kern w:val="0"/>
                <w:szCs w:val="21"/>
              </w:rPr>
              <w:t>无</w:t>
            </w:r>
          </w:p>
        </w:tc>
        <w:tc>
          <w:tcPr>
            <w:tcW w:w="863" w:type="dxa"/>
            <w:tcBorders>
              <w:top w:val="nil"/>
              <w:left w:val="nil"/>
              <w:bottom w:val="single" w:color="auto" w:sz="4" w:space="0"/>
              <w:right w:val="single" w:color="auto" w:sz="4" w:space="0"/>
            </w:tcBorders>
            <w:vAlign w:val="center"/>
          </w:tcPr>
          <w:p w14:paraId="5464065F">
            <w:pPr>
              <w:widowControl/>
              <w:jc w:val="center"/>
              <w:rPr>
                <w:rFonts w:eastAsia="仿宋_GB2312"/>
                <w:kern w:val="0"/>
                <w:szCs w:val="21"/>
              </w:rPr>
            </w:pPr>
            <w:r>
              <w:rPr>
                <w:rFonts w:hint="eastAsia" w:eastAsia="仿宋_GB2312"/>
                <w:kern w:val="0"/>
                <w:szCs w:val="21"/>
              </w:rPr>
              <w:t>无</w:t>
            </w:r>
          </w:p>
        </w:tc>
      </w:tr>
      <w:tr w14:paraId="04E85DD8">
        <w:tblPrEx>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vAlign w:val="center"/>
          </w:tcPr>
          <w:p w14:paraId="72C9BE0E">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14:paraId="71D29E92">
            <w:pPr>
              <w:widowControl/>
              <w:jc w:val="center"/>
              <w:rPr>
                <w:rFonts w:eastAsia="仿宋_GB2312"/>
                <w:kern w:val="0"/>
                <w:szCs w:val="21"/>
              </w:rPr>
            </w:pPr>
            <w:r>
              <w:rPr>
                <w:rFonts w:hint="eastAsia" w:eastAsia="仿宋_GB2312"/>
                <w:kern w:val="0"/>
                <w:szCs w:val="21"/>
              </w:rPr>
              <w:t>　</w:t>
            </w:r>
          </w:p>
        </w:tc>
      </w:tr>
    </w:tbl>
    <w:p w14:paraId="35E4B373">
      <w:pPr>
        <w:widowControl/>
        <w:jc w:val="left"/>
        <w:rPr>
          <w:rFonts w:eastAsia="仿宋_GB2312"/>
          <w:kern w:val="0"/>
          <w:sz w:val="22"/>
        </w:rPr>
      </w:pPr>
      <w:r>
        <w:rPr>
          <w:rFonts w:hint="eastAsia" w:eastAsia="仿宋_GB2312"/>
          <w:kern w:val="0"/>
          <w:sz w:val="22"/>
        </w:rPr>
        <w:t>说明：</w:t>
      </w:r>
      <w:r>
        <w:rPr>
          <w:rFonts w:eastAsia="仿宋_GB2312"/>
          <w:kern w:val="0"/>
          <w:sz w:val="22"/>
        </w:rPr>
        <w:t>“</w:t>
      </w:r>
      <w:r>
        <w:rPr>
          <w:rFonts w:hint="eastAsia" w:eastAsia="仿宋_GB2312"/>
          <w:kern w:val="0"/>
          <w:sz w:val="22"/>
        </w:rPr>
        <w:t>项目支出</w:t>
      </w:r>
      <w:r>
        <w:rPr>
          <w:rFonts w:eastAsia="仿宋_GB2312"/>
          <w:kern w:val="0"/>
          <w:sz w:val="22"/>
        </w:rPr>
        <w:t>”</w:t>
      </w:r>
      <w:r>
        <w:rPr>
          <w:rFonts w:hint="eastAsia" w:eastAsia="仿宋_GB2312"/>
          <w:kern w:val="0"/>
          <w:sz w:val="22"/>
        </w:rPr>
        <w:t>需要填报基本支出以外的所有项目支出情况，</w:t>
      </w:r>
      <w:r>
        <w:rPr>
          <w:rFonts w:eastAsia="仿宋_GB2312"/>
          <w:kern w:val="0"/>
          <w:sz w:val="22"/>
        </w:rPr>
        <w:t>“</w:t>
      </w:r>
      <w:r>
        <w:rPr>
          <w:rFonts w:hint="eastAsia" w:eastAsia="仿宋_GB2312"/>
          <w:kern w:val="0"/>
          <w:sz w:val="22"/>
        </w:rPr>
        <w:t>公用经费</w:t>
      </w:r>
      <w:r>
        <w:rPr>
          <w:rFonts w:eastAsia="仿宋_GB2312"/>
          <w:kern w:val="0"/>
          <w:sz w:val="22"/>
        </w:rPr>
        <w:t>”</w:t>
      </w:r>
      <w:r>
        <w:rPr>
          <w:rFonts w:hint="eastAsia" w:eastAsia="仿宋_GB2312"/>
          <w:kern w:val="0"/>
          <w:sz w:val="22"/>
        </w:rPr>
        <w:t>填报基本支出中的一般商品和服务支出。</w:t>
      </w:r>
    </w:p>
    <w:p w14:paraId="65103728">
      <w:pPr>
        <w:widowControl/>
        <w:spacing w:after="156" w:afterLines="50" w:line="400" w:lineRule="exact"/>
        <w:jc w:val="left"/>
        <w:rPr>
          <w:rFonts w:eastAsia="仿宋_GB2312"/>
          <w:kern w:val="0"/>
          <w:sz w:val="22"/>
        </w:rPr>
        <w:sectPr>
          <w:footerReference r:id="rId4" w:type="default"/>
          <w:pgSz w:w="11906" w:h="16838"/>
          <w:pgMar w:top="1701" w:right="1701" w:bottom="1418" w:left="1701"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eastAsia="仿宋_GB2312"/>
          <w:kern w:val="0"/>
          <w:sz w:val="22"/>
        </w:rPr>
        <w:t>填表人：刘莹华 填报日期：2022.04.24  联系电话：13517366448</w:t>
      </w:r>
      <w:r>
        <w:rPr>
          <w:rFonts w:eastAsia="仿宋_GB2312"/>
          <w:kern w:val="0"/>
          <w:sz w:val="22"/>
        </w:rPr>
        <w:t xml:space="preserve"> </w:t>
      </w:r>
      <w:r>
        <w:rPr>
          <w:rFonts w:hint="eastAsia" w:eastAsia="仿宋_GB2312"/>
          <w:kern w:val="0"/>
          <w:sz w:val="22"/>
        </w:rPr>
        <w:t>单位负责人签字：张健</w:t>
      </w:r>
    </w:p>
    <w:p w14:paraId="67DAB742">
      <w:pPr>
        <w:widowControl/>
        <w:spacing w:after="156" w:afterLines="50" w:line="400" w:lineRule="exact"/>
        <w:jc w:val="left"/>
        <w:rPr>
          <w:rFonts w:eastAsia="黑体"/>
          <w:sz w:val="32"/>
          <w:szCs w:val="32"/>
        </w:rPr>
      </w:pPr>
      <w:r>
        <w:rPr>
          <w:rFonts w:hint="eastAsia" w:eastAsia="黑体"/>
          <w:sz w:val="32"/>
          <w:szCs w:val="32"/>
        </w:rPr>
        <w:t>附件2</w:t>
      </w:r>
    </w:p>
    <w:p w14:paraId="0E03896C">
      <w:pPr>
        <w:widowControl/>
        <w:spacing w:after="156" w:afterLines="50" w:line="400" w:lineRule="exact"/>
        <w:jc w:val="center"/>
        <w:rPr>
          <w:rFonts w:eastAsia="方正小标宋_GBK"/>
          <w:color w:val="000000"/>
          <w:kern w:val="0"/>
          <w:sz w:val="36"/>
          <w:szCs w:val="36"/>
        </w:rPr>
      </w:pPr>
      <w:r>
        <w:rPr>
          <w:rFonts w:hint="eastAsia" w:eastAsia="方正小标宋_GBK"/>
          <w:color w:val="000000"/>
          <w:kern w:val="0"/>
          <w:sz w:val="36"/>
          <w:szCs w:val="36"/>
        </w:rPr>
        <w:t>2021年度单位整体支出绩效自评表</w:t>
      </w:r>
    </w:p>
    <w:tbl>
      <w:tblPr>
        <w:tblStyle w:val="6"/>
        <w:tblW w:w="9993" w:type="dxa"/>
        <w:jc w:val="center"/>
        <w:tblLayout w:type="autofit"/>
        <w:tblCellMar>
          <w:top w:w="0" w:type="dxa"/>
          <w:left w:w="108" w:type="dxa"/>
          <w:bottom w:w="0" w:type="dxa"/>
          <w:right w:w="108" w:type="dxa"/>
        </w:tblCellMar>
      </w:tblPr>
      <w:tblGrid>
        <w:gridCol w:w="1080"/>
        <w:gridCol w:w="1080"/>
        <w:gridCol w:w="953"/>
        <w:gridCol w:w="1256"/>
        <w:gridCol w:w="95"/>
        <w:gridCol w:w="1200"/>
        <w:gridCol w:w="1276"/>
        <w:gridCol w:w="709"/>
        <w:gridCol w:w="992"/>
        <w:gridCol w:w="1352"/>
      </w:tblGrid>
      <w:tr w14:paraId="59F8AD8B">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3C6AF980">
            <w:pPr>
              <w:widowControl/>
              <w:spacing w:line="240" w:lineRule="exact"/>
              <w:jc w:val="left"/>
              <w:rPr>
                <w:rFonts w:eastAsia="仿宋_GB2312"/>
                <w:color w:val="000000"/>
                <w:kern w:val="0"/>
                <w:szCs w:val="21"/>
              </w:rPr>
            </w:pPr>
            <w:r>
              <w:rPr>
                <w:rFonts w:hint="eastAsia" w:eastAsia="仿宋_GB2312"/>
                <w:color w:val="000000"/>
                <w:kern w:val="0"/>
                <w:szCs w:val="21"/>
              </w:rPr>
              <w:t>省级预算部门名称</w:t>
            </w:r>
          </w:p>
        </w:tc>
        <w:tc>
          <w:tcPr>
            <w:tcW w:w="8913" w:type="dxa"/>
            <w:gridSpan w:val="9"/>
            <w:tcBorders>
              <w:top w:val="single" w:color="auto" w:sz="4" w:space="0"/>
              <w:left w:val="nil"/>
              <w:bottom w:val="single" w:color="auto" w:sz="4" w:space="0"/>
              <w:right w:val="single" w:color="auto" w:sz="4" w:space="0"/>
            </w:tcBorders>
            <w:vAlign w:val="center"/>
          </w:tcPr>
          <w:p w14:paraId="1EAE37EB">
            <w:pPr>
              <w:widowControl/>
              <w:spacing w:line="240" w:lineRule="exact"/>
              <w:jc w:val="center"/>
              <w:rPr>
                <w:rFonts w:eastAsia="仿宋_GB2312"/>
                <w:color w:val="000000"/>
                <w:kern w:val="0"/>
                <w:szCs w:val="21"/>
              </w:rPr>
            </w:pPr>
            <w:r>
              <w:rPr>
                <w:rFonts w:hint="eastAsia" w:eastAsia="仿宋_GB2312"/>
                <w:color w:val="000000"/>
                <w:kern w:val="0"/>
                <w:szCs w:val="21"/>
              </w:rPr>
              <w:t>湖南省地质矿产勘查开发局四0三队　</w:t>
            </w:r>
          </w:p>
        </w:tc>
      </w:tr>
      <w:tr w14:paraId="1D27759A">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14:paraId="364FB4AC">
            <w:pPr>
              <w:widowControl/>
              <w:spacing w:line="240" w:lineRule="exact"/>
              <w:jc w:val="center"/>
              <w:rPr>
                <w:rFonts w:eastAsia="仿宋_GB2312"/>
                <w:color w:val="000000"/>
                <w:kern w:val="0"/>
                <w:szCs w:val="21"/>
              </w:rPr>
            </w:pPr>
            <w:r>
              <w:rPr>
                <w:rFonts w:hint="eastAsia" w:eastAsia="仿宋_GB2312"/>
                <w:color w:val="000000"/>
                <w:kern w:val="0"/>
                <w:szCs w:val="21"/>
              </w:rPr>
              <w:t>年度预</w:t>
            </w:r>
          </w:p>
          <w:p w14:paraId="71D5026B">
            <w:pPr>
              <w:widowControl/>
              <w:spacing w:line="240" w:lineRule="exact"/>
              <w:jc w:val="center"/>
              <w:rPr>
                <w:rFonts w:eastAsia="仿宋_GB2312"/>
                <w:color w:val="000000"/>
                <w:kern w:val="0"/>
                <w:szCs w:val="21"/>
              </w:rPr>
            </w:pPr>
            <w:r>
              <w:rPr>
                <w:rFonts w:hint="eastAsia" w:eastAsia="仿宋_GB2312"/>
                <w:color w:val="000000"/>
                <w:kern w:val="0"/>
                <w:szCs w:val="21"/>
              </w:rPr>
              <w:t>算申请</w:t>
            </w:r>
          </w:p>
          <w:p w14:paraId="52F09C6C">
            <w:pPr>
              <w:widowControl/>
              <w:spacing w:line="240" w:lineRule="exact"/>
              <w:jc w:val="center"/>
              <w:rPr>
                <w:rFonts w:eastAsia="仿宋_GB2312"/>
                <w:color w:val="000000"/>
                <w:kern w:val="0"/>
                <w:szCs w:val="21"/>
              </w:rPr>
            </w:pPr>
            <w:r>
              <w:rPr>
                <w:rFonts w:hint="eastAsia" w:eastAsia="仿宋_GB2312"/>
                <w:color w:val="000000"/>
                <w:kern w:val="0"/>
                <w:szCs w:val="21"/>
              </w:rPr>
              <w:t>（万元）</w:t>
            </w:r>
          </w:p>
        </w:tc>
        <w:tc>
          <w:tcPr>
            <w:tcW w:w="2033" w:type="dxa"/>
            <w:gridSpan w:val="2"/>
            <w:tcBorders>
              <w:top w:val="nil"/>
              <w:left w:val="nil"/>
              <w:bottom w:val="single" w:color="auto" w:sz="4" w:space="0"/>
              <w:right w:val="single" w:color="auto" w:sz="4" w:space="0"/>
            </w:tcBorders>
            <w:vAlign w:val="center"/>
          </w:tcPr>
          <w:p w14:paraId="09816B3E">
            <w:pPr>
              <w:spacing w:line="240" w:lineRule="exact"/>
              <w:jc w:val="center"/>
              <w:rPr>
                <w:rFonts w:eastAsia="仿宋_GB2312"/>
                <w:szCs w:val="21"/>
              </w:rPr>
            </w:pPr>
          </w:p>
        </w:tc>
        <w:tc>
          <w:tcPr>
            <w:tcW w:w="1256" w:type="dxa"/>
            <w:tcBorders>
              <w:top w:val="nil"/>
              <w:left w:val="nil"/>
              <w:bottom w:val="single" w:color="auto" w:sz="4" w:space="0"/>
              <w:right w:val="single" w:color="auto" w:sz="4" w:space="0"/>
            </w:tcBorders>
            <w:vAlign w:val="center"/>
          </w:tcPr>
          <w:p w14:paraId="51846731">
            <w:pPr>
              <w:spacing w:line="240" w:lineRule="exact"/>
              <w:jc w:val="center"/>
              <w:rPr>
                <w:rFonts w:eastAsia="仿宋_GB2312"/>
                <w:szCs w:val="21"/>
              </w:rPr>
            </w:pPr>
            <w:r>
              <w:rPr>
                <w:rFonts w:hint="eastAsia" w:eastAsia="仿宋_GB2312"/>
                <w:szCs w:val="21"/>
              </w:rPr>
              <w:t>年初</w:t>
            </w:r>
          </w:p>
          <w:p w14:paraId="2F5FD17B">
            <w:pPr>
              <w:spacing w:line="240" w:lineRule="exact"/>
              <w:jc w:val="center"/>
              <w:rPr>
                <w:rFonts w:eastAsia="仿宋_GB2312"/>
                <w:szCs w:val="21"/>
              </w:rPr>
            </w:pPr>
            <w:r>
              <w:rPr>
                <w:rFonts w:hint="eastAsia" w:eastAsia="仿宋_GB2312"/>
                <w:szCs w:val="21"/>
              </w:rPr>
              <w:t>预算数</w:t>
            </w:r>
          </w:p>
        </w:tc>
        <w:tc>
          <w:tcPr>
            <w:tcW w:w="1295" w:type="dxa"/>
            <w:gridSpan w:val="2"/>
            <w:tcBorders>
              <w:top w:val="nil"/>
              <w:left w:val="nil"/>
              <w:bottom w:val="single" w:color="auto" w:sz="4" w:space="0"/>
              <w:right w:val="single" w:color="auto" w:sz="4" w:space="0"/>
            </w:tcBorders>
            <w:vAlign w:val="center"/>
          </w:tcPr>
          <w:p w14:paraId="5A1F94B6">
            <w:pPr>
              <w:spacing w:line="240" w:lineRule="exact"/>
              <w:jc w:val="center"/>
              <w:rPr>
                <w:rFonts w:eastAsia="仿宋_GB2312"/>
                <w:szCs w:val="21"/>
              </w:rPr>
            </w:pPr>
            <w:r>
              <w:rPr>
                <w:rFonts w:hint="eastAsia" w:eastAsia="仿宋_GB2312"/>
                <w:szCs w:val="21"/>
              </w:rPr>
              <w:t>全年预算数</w:t>
            </w:r>
          </w:p>
        </w:tc>
        <w:tc>
          <w:tcPr>
            <w:tcW w:w="1276" w:type="dxa"/>
            <w:tcBorders>
              <w:top w:val="nil"/>
              <w:left w:val="nil"/>
              <w:bottom w:val="single" w:color="auto" w:sz="4" w:space="0"/>
              <w:right w:val="single" w:color="auto" w:sz="4" w:space="0"/>
            </w:tcBorders>
            <w:vAlign w:val="center"/>
          </w:tcPr>
          <w:p w14:paraId="65EF808C">
            <w:pPr>
              <w:spacing w:line="240" w:lineRule="exact"/>
              <w:jc w:val="center"/>
              <w:rPr>
                <w:rFonts w:eastAsia="仿宋_GB2312"/>
                <w:szCs w:val="21"/>
              </w:rPr>
            </w:pPr>
            <w:r>
              <w:rPr>
                <w:rFonts w:hint="eastAsia" w:eastAsia="仿宋_GB2312"/>
                <w:szCs w:val="21"/>
              </w:rPr>
              <w:t>全年执行数</w:t>
            </w:r>
          </w:p>
        </w:tc>
        <w:tc>
          <w:tcPr>
            <w:tcW w:w="709" w:type="dxa"/>
            <w:tcBorders>
              <w:top w:val="nil"/>
              <w:left w:val="nil"/>
              <w:bottom w:val="single" w:color="auto" w:sz="4" w:space="0"/>
              <w:right w:val="single" w:color="auto" w:sz="4" w:space="0"/>
            </w:tcBorders>
            <w:vAlign w:val="center"/>
          </w:tcPr>
          <w:p w14:paraId="7CAEF2DA">
            <w:pPr>
              <w:spacing w:line="240" w:lineRule="exact"/>
              <w:jc w:val="center"/>
              <w:rPr>
                <w:rFonts w:eastAsia="仿宋_GB2312"/>
                <w:szCs w:val="21"/>
              </w:rPr>
            </w:pPr>
            <w:r>
              <w:rPr>
                <w:rFonts w:hint="eastAsia" w:eastAsia="仿宋_GB2312"/>
                <w:szCs w:val="21"/>
              </w:rPr>
              <w:t>分值</w:t>
            </w:r>
          </w:p>
        </w:tc>
        <w:tc>
          <w:tcPr>
            <w:tcW w:w="992" w:type="dxa"/>
            <w:tcBorders>
              <w:top w:val="nil"/>
              <w:left w:val="nil"/>
              <w:bottom w:val="single" w:color="auto" w:sz="4" w:space="0"/>
              <w:right w:val="single" w:color="auto" w:sz="4" w:space="0"/>
            </w:tcBorders>
            <w:vAlign w:val="center"/>
          </w:tcPr>
          <w:p w14:paraId="44016B7C">
            <w:pPr>
              <w:spacing w:line="240" w:lineRule="exact"/>
              <w:jc w:val="center"/>
              <w:rPr>
                <w:rFonts w:eastAsia="仿宋_GB2312"/>
                <w:szCs w:val="21"/>
              </w:rPr>
            </w:pPr>
            <w:r>
              <w:rPr>
                <w:rFonts w:hint="eastAsia" w:eastAsia="仿宋_GB2312"/>
                <w:szCs w:val="21"/>
              </w:rPr>
              <w:t>执行率</w:t>
            </w:r>
          </w:p>
        </w:tc>
        <w:tc>
          <w:tcPr>
            <w:tcW w:w="1352" w:type="dxa"/>
            <w:tcBorders>
              <w:top w:val="nil"/>
              <w:left w:val="nil"/>
              <w:bottom w:val="single" w:color="auto" w:sz="4" w:space="0"/>
              <w:right w:val="single" w:color="auto" w:sz="4" w:space="0"/>
            </w:tcBorders>
            <w:vAlign w:val="center"/>
          </w:tcPr>
          <w:p w14:paraId="49F32B3F">
            <w:pPr>
              <w:spacing w:line="240" w:lineRule="exact"/>
              <w:jc w:val="center"/>
              <w:rPr>
                <w:rFonts w:eastAsia="仿宋_GB2312"/>
                <w:szCs w:val="21"/>
              </w:rPr>
            </w:pPr>
            <w:r>
              <w:rPr>
                <w:rFonts w:hint="eastAsia" w:eastAsia="仿宋_GB2312"/>
                <w:szCs w:val="21"/>
              </w:rPr>
              <w:t>得分</w:t>
            </w:r>
          </w:p>
        </w:tc>
      </w:tr>
      <w:tr w14:paraId="6FC3005B">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vAlign w:val="center"/>
          </w:tcPr>
          <w:p w14:paraId="705CBC1C">
            <w:pPr>
              <w:widowControl/>
              <w:spacing w:line="240" w:lineRule="exact"/>
              <w:jc w:val="center"/>
              <w:rPr>
                <w:rFonts w:eastAsia="仿宋_GB2312"/>
                <w:color w:val="000000"/>
                <w:kern w:val="0"/>
                <w:szCs w:val="21"/>
              </w:rPr>
            </w:pPr>
          </w:p>
        </w:tc>
        <w:tc>
          <w:tcPr>
            <w:tcW w:w="2033" w:type="dxa"/>
            <w:gridSpan w:val="2"/>
            <w:tcBorders>
              <w:top w:val="nil"/>
              <w:left w:val="nil"/>
              <w:bottom w:val="single" w:color="auto" w:sz="4" w:space="0"/>
              <w:right w:val="single" w:color="auto" w:sz="4" w:space="0"/>
            </w:tcBorders>
            <w:vAlign w:val="center"/>
          </w:tcPr>
          <w:p w14:paraId="5298E9FF">
            <w:pPr>
              <w:spacing w:line="240" w:lineRule="exact"/>
              <w:jc w:val="center"/>
              <w:rPr>
                <w:rFonts w:eastAsia="仿宋_GB2312"/>
                <w:szCs w:val="21"/>
              </w:rPr>
            </w:pPr>
            <w:r>
              <w:rPr>
                <w:rFonts w:hint="eastAsia" w:eastAsia="仿宋_GB2312"/>
                <w:color w:val="000000"/>
                <w:kern w:val="0"/>
                <w:szCs w:val="21"/>
              </w:rPr>
              <w:t>年度资金总额</w:t>
            </w:r>
          </w:p>
        </w:tc>
        <w:tc>
          <w:tcPr>
            <w:tcW w:w="1256" w:type="dxa"/>
            <w:tcBorders>
              <w:top w:val="nil"/>
              <w:left w:val="nil"/>
              <w:bottom w:val="single" w:color="auto" w:sz="4" w:space="0"/>
              <w:right w:val="single" w:color="auto" w:sz="4" w:space="0"/>
            </w:tcBorders>
            <w:vAlign w:val="center"/>
          </w:tcPr>
          <w:p w14:paraId="4C49947B">
            <w:pPr>
              <w:spacing w:line="240" w:lineRule="exact"/>
              <w:jc w:val="center"/>
              <w:rPr>
                <w:rFonts w:eastAsia="仿宋_GB2312"/>
                <w:szCs w:val="21"/>
              </w:rPr>
            </w:pPr>
            <w:r>
              <w:rPr>
                <w:rFonts w:hint="eastAsia" w:eastAsia="仿宋_GB2312"/>
                <w:szCs w:val="21"/>
              </w:rPr>
              <w:t>3145.25</w:t>
            </w:r>
          </w:p>
        </w:tc>
        <w:tc>
          <w:tcPr>
            <w:tcW w:w="1295" w:type="dxa"/>
            <w:gridSpan w:val="2"/>
            <w:tcBorders>
              <w:top w:val="nil"/>
              <w:left w:val="nil"/>
              <w:bottom w:val="single" w:color="auto" w:sz="4" w:space="0"/>
              <w:right w:val="single" w:color="auto" w:sz="4" w:space="0"/>
            </w:tcBorders>
            <w:vAlign w:val="center"/>
          </w:tcPr>
          <w:p w14:paraId="5376E660">
            <w:pPr>
              <w:spacing w:line="240" w:lineRule="exact"/>
              <w:jc w:val="center"/>
              <w:rPr>
                <w:rFonts w:eastAsia="仿宋_GB2312"/>
                <w:szCs w:val="21"/>
              </w:rPr>
            </w:pPr>
            <w:r>
              <w:rPr>
                <w:rFonts w:hint="eastAsia" w:eastAsia="仿宋_GB2312"/>
                <w:szCs w:val="21"/>
              </w:rPr>
              <w:t>3940.37</w:t>
            </w:r>
          </w:p>
        </w:tc>
        <w:tc>
          <w:tcPr>
            <w:tcW w:w="1276" w:type="dxa"/>
            <w:tcBorders>
              <w:top w:val="nil"/>
              <w:left w:val="nil"/>
              <w:bottom w:val="single" w:color="auto" w:sz="4" w:space="0"/>
              <w:right w:val="single" w:color="auto" w:sz="4" w:space="0"/>
            </w:tcBorders>
            <w:vAlign w:val="center"/>
          </w:tcPr>
          <w:p w14:paraId="5CF95282">
            <w:pPr>
              <w:spacing w:line="240" w:lineRule="exact"/>
              <w:jc w:val="center"/>
              <w:rPr>
                <w:rFonts w:eastAsia="仿宋_GB2312"/>
                <w:szCs w:val="21"/>
              </w:rPr>
            </w:pPr>
            <w:r>
              <w:rPr>
                <w:rFonts w:hint="eastAsia" w:eastAsia="仿宋_GB2312"/>
                <w:color w:val="000000"/>
                <w:kern w:val="0"/>
                <w:szCs w:val="21"/>
              </w:rPr>
              <w:t>3720.86</w:t>
            </w:r>
          </w:p>
        </w:tc>
        <w:tc>
          <w:tcPr>
            <w:tcW w:w="709" w:type="dxa"/>
            <w:tcBorders>
              <w:top w:val="nil"/>
              <w:left w:val="nil"/>
              <w:bottom w:val="single" w:color="auto" w:sz="4" w:space="0"/>
              <w:right w:val="single" w:color="auto" w:sz="4" w:space="0"/>
            </w:tcBorders>
            <w:vAlign w:val="center"/>
          </w:tcPr>
          <w:p w14:paraId="4AAA92AF">
            <w:pPr>
              <w:spacing w:line="240" w:lineRule="exact"/>
              <w:jc w:val="center"/>
              <w:rPr>
                <w:rFonts w:eastAsia="仿宋_GB2312"/>
                <w:szCs w:val="21"/>
              </w:rPr>
            </w:pPr>
            <w:r>
              <w:rPr>
                <w:rFonts w:eastAsia="仿宋_GB2312"/>
                <w:szCs w:val="21"/>
              </w:rPr>
              <w:t>10</w:t>
            </w:r>
          </w:p>
        </w:tc>
        <w:tc>
          <w:tcPr>
            <w:tcW w:w="992" w:type="dxa"/>
            <w:tcBorders>
              <w:top w:val="nil"/>
              <w:left w:val="nil"/>
              <w:bottom w:val="single" w:color="auto" w:sz="4" w:space="0"/>
              <w:right w:val="single" w:color="auto" w:sz="4" w:space="0"/>
            </w:tcBorders>
            <w:vAlign w:val="center"/>
          </w:tcPr>
          <w:p w14:paraId="62A5B8AB">
            <w:pPr>
              <w:spacing w:line="240" w:lineRule="exact"/>
              <w:jc w:val="center"/>
              <w:rPr>
                <w:rFonts w:eastAsia="仿宋_GB2312"/>
                <w:szCs w:val="21"/>
              </w:rPr>
            </w:pPr>
            <w:r>
              <w:rPr>
                <w:rFonts w:hint="eastAsia" w:eastAsia="仿宋_GB2312"/>
                <w:szCs w:val="21"/>
              </w:rPr>
              <w:t>94.43%</w:t>
            </w:r>
          </w:p>
        </w:tc>
        <w:tc>
          <w:tcPr>
            <w:tcW w:w="1352" w:type="dxa"/>
            <w:tcBorders>
              <w:top w:val="nil"/>
              <w:left w:val="nil"/>
              <w:bottom w:val="single" w:color="auto" w:sz="4" w:space="0"/>
              <w:right w:val="single" w:color="auto" w:sz="4" w:space="0"/>
            </w:tcBorders>
            <w:vAlign w:val="center"/>
          </w:tcPr>
          <w:p w14:paraId="2883075C">
            <w:pPr>
              <w:spacing w:line="240" w:lineRule="exact"/>
              <w:jc w:val="center"/>
              <w:rPr>
                <w:rFonts w:eastAsia="仿宋_GB2312"/>
                <w:szCs w:val="21"/>
              </w:rPr>
            </w:pPr>
            <w:r>
              <w:rPr>
                <w:rFonts w:hint="eastAsia" w:eastAsia="仿宋_GB2312"/>
                <w:szCs w:val="21"/>
              </w:rPr>
              <w:t>9.5</w:t>
            </w:r>
          </w:p>
        </w:tc>
      </w:tr>
      <w:tr w14:paraId="5A8D2A6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48835E28">
            <w:pPr>
              <w:widowControl/>
              <w:spacing w:line="240" w:lineRule="exact"/>
              <w:jc w:val="left"/>
              <w:rPr>
                <w:rFonts w:eastAsia="仿宋_GB2312"/>
                <w:color w:val="000000"/>
                <w:kern w:val="0"/>
                <w:szCs w:val="21"/>
              </w:rPr>
            </w:pPr>
          </w:p>
        </w:tc>
        <w:tc>
          <w:tcPr>
            <w:tcW w:w="4584" w:type="dxa"/>
            <w:gridSpan w:val="5"/>
            <w:tcBorders>
              <w:top w:val="nil"/>
              <w:left w:val="nil"/>
              <w:bottom w:val="single" w:color="auto" w:sz="4" w:space="0"/>
              <w:right w:val="single" w:color="auto" w:sz="4" w:space="0"/>
            </w:tcBorders>
            <w:vAlign w:val="center"/>
          </w:tcPr>
          <w:p w14:paraId="54FCA403">
            <w:pPr>
              <w:widowControl/>
              <w:spacing w:line="240" w:lineRule="exact"/>
              <w:jc w:val="left"/>
              <w:rPr>
                <w:rFonts w:eastAsia="仿宋_GB2312"/>
                <w:color w:val="000000"/>
                <w:kern w:val="0"/>
                <w:szCs w:val="21"/>
              </w:rPr>
            </w:pPr>
            <w:r>
              <w:rPr>
                <w:rFonts w:hint="eastAsia" w:eastAsia="仿宋_GB2312"/>
                <w:color w:val="000000"/>
                <w:kern w:val="0"/>
                <w:szCs w:val="21"/>
              </w:rPr>
              <w:t>按收入性质分：</w:t>
            </w:r>
            <w:r>
              <w:rPr>
                <w:rFonts w:hint="eastAsia" w:eastAsia="仿宋_GB2312"/>
                <w:szCs w:val="21"/>
              </w:rPr>
              <w:t>3940.37</w:t>
            </w:r>
          </w:p>
        </w:tc>
        <w:tc>
          <w:tcPr>
            <w:tcW w:w="4329" w:type="dxa"/>
            <w:gridSpan w:val="4"/>
            <w:tcBorders>
              <w:top w:val="nil"/>
              <w:left w:val="nil"/>
              <w:bottom w:val="single" w:color="auto" w:sz="4" w:space="0"/>
              <w:right w:val="single" w:color="auto" w:sz="4" w:space="0"/>
            </w:tcBorders>
            <w:vAlign w:val="center"/>
          </w:tcPr>
          <w:p w14:paraId="2AC53032">
            <w:pPr>
              <w:widowControl/>
              <w:spacing w:line="240" w:lineRule="exact"/>
              <w:jc w:val="left"/>
              <w:rPr>
                <w:rFonts w:eastAsia="仿宋_GB2312"/>
                <w:color w:val="000000"/>
                <w:kern w:val="0"/>
                <w:szCs w:val="21"/>
              </w:rPr>
            </w:pPr>
            <w:r>
              <w:rPr>
                <w:rFonts w:hint="eastAsia" w:eastAsia="仿宋_GB2312"/>
                <w:color w:val="000000"/>
                <w:kern w:val="0"/>
                <w:szCs w:val="21"/>
              </w:rPr>
              <w:t>按支出性质分：3720.86</w:t>
            </w:r>
          </w:p>
        </w:tc>
      </w:tr>
      <w:tr w14:paraId="021EBDE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11E872DD">
            <w:pPr>
              <w:widowControl/>
              <w:spacing w:line="240" w:lineRule="exact"/>
              <w:jc w:val="left"/>
              <w:rPr>
                <w:rFonts w:eastAsia="仿宋_GB2312"/>
                <w:color w:val="000000"/>
                <w:kern w:val="0"/>
                <w:szCs w:val="21"/>
              </w:rPr>
            </w:pPr>
          </w:p>
        </w:tc>
        <w:tc>
          <w:tcPr>
            <w:tcW w:w="4584" w:type="dxa"/>
            <w:gridSpan w:val="5"/>
            <w:tcBorders>
              <w:top w:val="nil"/>
              <w:left w:val="nil"/>
              <w:bottom w:val="single" w:color="auto" w:sz="4" w:space="0"/>
              <w:right w:val="single" w:color="auto" w:sz="4" w:space="0"/>
            </w:tcBorders>
            <w:vAlign w:val="center"/>
          </w:tcPr>
          <w:p w14:paraId="323BCB45">
            <w:pPr>
              <w:widowControl/>
              <w:spacing w:line="240" w:lineRule="exact"/>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其中：</w:t>
            </w:r>
            <w:r>
              <w:rPr>
                <w:rFonts w:eastAsia="仿宋_GB2312"/>
                <w:color w:val="000000"/>
                <w:kern w:val="0"/>
                <w:szCs w:val="21"/>
              </w:rPr>
              <w:t xml:space="preserve">  </w:t>
            </w:r>
            <w:r>
              <w:rPr>
                <w:rFonts w:hint="eastAsia" w:eastAsia="仿宋_GB2312"/>
                <w:color w:val="000000"/>
                <w:kern w:val="0"/>
                <w:szCs w:val="21"/>
              </w:rPr>
              <w:t>一般公共预算：3940.37</w:t>
            </w:r>
          </w:p>
        </w:tc>
        <w:tc>
          <w:tcPr>
            <w:tcW w:w="4329" w:type="dxa"/>
            <w:gridSpan w:val="4"/>
            <w:tcBorders>
              <w:top w:val="nil"/>
              <w:left w:val="nil"/>
              <w:bottom w:val="single" w:color="auto" w:sz="4" w:space="0"/>
              <w:right w:val="single" w:color="auto" w:sz="4" w:space="0"/>
            </w:tcBorders>
            <w:vAlign w:val="center"/>
          </w:tcPr>
          <w:p w14:paraId="530E6018">
            <w:pPr>
              <w:widowControl/>
              <w:spacing w:line="240" w:lineRule="exact"/>
              <w:jc w:val="left"/>
              <w:rPr>
                <w:rFonts w:eastAsia="仿宋_GB2312"/>
                <w:color w:val="000000"/>
                <w:kern w:val="0"/>
                <w:szCs w:val="21"/>
              </w:rPr>
            </w:pPr>
            <w:r>
              <w:rPr>
                <w:rFonts w:hint="eastAsia" w:eastAsia="仿宋_GB2312"/>
                <w:color w:val="000000"/>
                <w:kern w:val="0"/>
                <w:szCs w:val="21"/>
              </w:rPr>
              <w:t>其中：基本支出：2955.75</w:t>
            </w:r>
          </w:p>
        </w:tc>
      </w:tr>
      <w:tr w14:paraId="20FFC18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682A812A">
            <w:pPr>
              <w:widowControl/>
              <w:spacing w:line="240" w:lineRule="exact"/>
              <w:jc w:val="left"/>
              <w:rPr>
                <w:rFonts w:eastAsia="仿宋_GB2312"/>
                <w:color w:val="000000"/>
                <w:kern w:val="0"/>
                <w:szCs w:val="21"/>
              </w:rPr>
            </w:pPr>
          </w:p>
        </w:tc>
        <w:tc>
          <w:tcPr>
            <w:tcW w:w="4584" w:type="dxa"/>
            <w:gridSpan w:val="5"/>
            <w:tcBorders>
              <w:top w:val="nil"/>
              <w:left w:val="nil"/>
              <w:bottom w:val="single" w:color="auto" w:sz="4" w:space="0"/>
              <w:right w:val="single" w:color="auto" w:sz="4" w:space="0"/>
            </w:tcBorders>
            <w:vAlign w:val="center"/>
          </w:tcPr>
          <w:p w14:paraId="6C64CD81">
            <w:pPr>
              <w:widowControl/>
              <w:spacing w:line="240" w:lineRule="exact"/>
              <w:jc w:val="left"/>
              <w:rPr>
                <w:rFonts w:eastAsia="仿宋_GB2312"/>
                <w:color w:val="000000"/>
                <w:kern w:val="0"/>
                <w:szCs w:val="21"/>
              </w:rPr>
            </w:pPr>
            <w:r>
              <w:rPr>
                <w:rFonts w:hint="eastAsia" w:eastAsia="仿宋_GB2312"/>
                <w:color w:val="000000"/>
                <w:kern w:val="0"/>
                <w:szCs w:val="21"/>
              </w:rPr>
              <w:t>政府性基金拨款：</w:t>
            </w:r>
          </w:p>
        </w:tc>
        <w:tc>
          <w:tcPr>
            <w:tcW w:w="4329" w:type="dxa"/>
            <w:gridSpan w:val="4"/>
            <w:tcBorders>
              <w:top w:val="nil"/>
              <w:left w:val="nil"/>
              <w:bottom w:val="single" w:color="auto" w:sz="4" w:space="0"/>
              <w:right w:val="single" w:color="auto" w:sz="4" w:space="0"/>
            </w:tcBorders>
            <w:vAlign w:val="center"/>
          </w:tcPr>
          <w:p w14:paraId="595751B3">
            <w:pPr>
              <w:widowControl/>
              <w:spacing w:line="240" w:lineRule="exact"/>
              <w:jc w:val="left"/>
              <w:rPr>
                <w:rFonts w:eastAsia="仿宋_GB2312"/>
                <w:color w:val="000000"/>
                <w:kern w:val="0"/>
                <w:szCs w:val="21"/>
              </w:rPr>
            </w:pPr>
            <w:r>
              <w:rPr>
                <w:rFonts w:hint="eastAsia" w:eastAsia="仿宋_GB2312"/>
                <w:color w:val="000000"/>
                <w:kern w:val="0"/>
                <w:szCs w:val="21"/>
              </w:rPr>
              <w:t>项目支出：575.61</w:t>
            </w:r>
          </w:p>
        </w:tc>
      </w:tr>
      <w:tr w14:paraId="600BAAE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5649EF44">
            <w:pPr>
              <w:widowControl/>
              <w:spacing w:line="240" w:lineRule="exact"/>
              <w:jc w:val="left"/>
              <w:rPr>
                <w:rFonts w:eastAsia="仿宋_GB2312"/>
                <w:color w:val="000000"/>
                <w:kern w:val="0"/>
                <w:szCs w:val="21"/>
              </w:rPr>
            </w:pPr>
          </w:p>
        </w:tc>
        <w:tc>
          <w:tcPr>
            <w:tcW w:w="4584" w:type="dxa"/>
            <w:gridSpan w:val="5"/>
            <w:tcBorders>
              <w:top w:val="nil"/>
              <w:left w:val="nil"/>
              <w:bottom w:val="single" w:color="auto" w:sz="4" w:space="0"/>
              <w:right w:val="single" w:color="auto" w:sz="4" w:space="0"/>
            </w:tcBorders>
            <w:vAlign w:val="center"/>
          </w:tcPr>
          <w:p w14:paraId="190D807C">
            <w:pPr>
              <w:widowControl/>
              <w:spacing w:line="240" w:lineRule="exact"/>
              <w:jc w:val="left"/>
              <w:rPr>
                <w:rFonts w:eastAsia="仿宋_GB2312"/>
                <w:color w:val="000000"/>
                <w:kern w:val="0"/>
                <w:szCs w:val="21"/>
              </w:rPr>
            </w:pPr>
            <w:r>
              <w:rPr>
                <w:rFonts w:hint="eastAsia" w:eastAsia="仿宋_GB2312"/>
                <w:color w:val="000000"/>
                <w:kern w:val="0"/>
                <w:szCs w:val="21"/>
              </w:rPr>
              <w:t>纳入专户管理的非税收入拨款：</w:t>
            </w:r>
          </w:p>
        </w:tc>
        <w:tc>
          <w:tcPr>
            <w:tcW w:w="4329" w:type="dxa"/>
            <w:gridSpan w:val="4"/>
            <w:tcBorders>
              <w:top w:val="nil"/>
              <w:left w:val="nil"/>
              <w:bottom w:val="single" w:color="auto" w:sz="4" w:space="0"/>
              <w:right w:val="single" w:color="auto" w:sz="4" w:space="0"/>
            </w:tcBorders>
            <w:vAlign w:val="center"/>
          </w:tcPr>
          <w:p w14:paraId="12616404">
            <w:pPr>
              <w:widowControl/>
              <w:spacing w:line="240" w:lineRule="exact"/>
              <w:jc w:val="left"/>
              <w:rPr>
                <w:rFonts w:eastAsia="仿宋_GB2312"/>
                <w:color w:val="000000"/>
                <w:kern w:val="0"/>
                <w:szCs w:val="21"/>
              </w:rPr>
            </w:pPr>
          </w:p>
        </w:tc>
      </w:tr>
      <w:tr w14:paraId="1336352E">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14:paraId="01F00BB6">
            <w:pPr>
              <w:widowControl/>
              <w:spacing w:line="240" w:lineRule="exact"/>
              <w:jc w:val="left"/>
              <w:rPr>
                <w:rFonts w:eastAsia="仿宋_GB2312"/>
                <w:color w:val="000000"/>
                <w:kern w:val="0"/>
                <w:szCs w:val="21"/>
              </w:rPr>
            </w:pPr>
          </w:p>
        </w:tc>
        <w:tc>
          <w:tcPr>
            <w:tcW w:w="4584" w:type="dxa"/>
            <w:gridSpan w:val="5"/>
            <w:tcBorders>
              <w:top w:val="nil"/>
              <w:left w:val="nil"/>
              <w:bottom w:val="single" w:color="auto" w:sz="4" w:space="0"/>
              <w:right w:val="single" w:color="auto" w:sz="4" w:space="0"/>
            </w:tcBorders>
            <w:vAlign w:val="center"/>
          </w:tcPr>
          <w:p w14:paraId="12FC457D">
            <w:pPr>
              <w:widowControl/>
              <w:spacing w:line="240" w:lineRule="exact"/>
              <w:jc w:val="left"/>
              <w:rPr>
                <w:rFonts w:eastAsia="仿宋_GB2312"/>
                <w:color w:val="000000"/>
                <w:kern w:val="0"/>
                <w:szCs w:val="21"/>
              </w:rPr>
            </w:pPr>
            <w:r>
              <w:rPr>
                <w:rFonts w:hint="eastAsia" w:eastAsia="仿宋_GB2312"/>
                <w:color w:val="000000"/>
                <w:kern w:val="0"/>
                <w:szCs w:val="21"/>
              </w:rPr>
              <w:t>其他资金：</w:t>
            </w:r>
          </w:p>
        </w:tc>
        <w:tc>
          <w:tcPr>
            <w:tcW w:w="4329" w:type="dxa"/>
            <w:gridSpan w:val="4"/>
            <w:tcBorders>
              <w:top w:val="nil"/>
              <w:left w:val="nil"/>
              <w:bottom w:val="single" w:color="auto" w:sz="4" w:space="0"/>
              <w:right w:val="single" w:color="auto" w:sz="4" w:space="0"/>
            </w:tcBorders>
            <w:vAlign w:val="center"/>
          </w:tcPr>
          <w:p w14:paraId="511A10C2">
            <w:pPr>
              <w:widowControl/>
              <w:spacing w:line="240" w:lineRule="exact"/>
              <w:jc w:val="left"/>
              <w:rPr>
                <w:rFonts w:eastAsia="仿宋_GB2312"/>
                <w:color w:val="000000"/>
                <w:kern w:val="0"/>
                <w:szCs w:val="21"/>
              </w:rPr>
            </w:pPr>
          </w:p>
        </w:tc>
      </w:tr>
      <w:tr w14:paraId="37C71B11">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7B2CA69C">
            <w:pPr>
              <w:widowControl/>
              <w:spacing w:line="240" w:lineRule="exact"/>
              <w:jc w:val="center"/>
              <w:rPr>
                <w:rFonts w:eastAsia="仿宋_GB2312"/>
                <w:color w:val="000000"/>
                <w:kern w:val="0"/>
                <w:szCs w:val="21"/>
              </w:rPr>
            </w:pPr>
            <w:r>
              <w:rPr>
                <w:rFonts w:hint="eastAsia" w:eastAsia="仿宋_GB2312"/>
                <w:color w:val="000000"/>
                <w:kern w:val="0"/>
                <w:szCs w:val="21"/>
              </w:rPr>
              <w:t>年度总体目标</w:t>
            </w:r>
          </w:p>
        </w:tc>
        <w:tc>
          <w:tcPr>
            <w:tcW w:w="4584" w:type="dxa"/>
            <w:gridSpan w:val="5"/>
            <w:tcBorders>
              <w:top w:val="single" w:color="auto" w:sz="4" w:space="0"/>
              <w:left w:val="nil"/>
              <w:bottom w:val="single" w:color="auto" w:sz="4" w:space="0"/>
              <w:right w:val="single" w:color="000000" w:sz="4" w:space="0"/>
            </w:tcBorders>
            <w:vAlign w:val="center"/>
          </w:tcPr>
          <w:p w14:paraId="48EC2D7D">
            <w:pPr>
              <w:widowControl/>
              <w:spacing w:line="240" w:lineRule="exact"/>
              <w:jc w:val="center"/>
              <w:rPr>
                <w:rFonts w:eastAsia="仿宋_GB2312"/>
                <w:color w:val="000000"/>
                <w:kern w:val="0"/>
                <w:szCs w:val="21"/>
              </w:rPr>
            </w:pPr>
            <w:r>
              <w:rPr>
                <w:rFonts w:hint="eastAsia" w:eastAsia="仿宋_GB2312"/>
                <w:color w:val="000000"/>
                <w:kern w:val="0"/>
                <w:szCs w:val="21"/>
              </w:rPr>
              <w:t>预期目标</w:t>
            </w:r>
          </w:p>
        </w:tc>
        <w:tc>
          <w:tcPr>
            <w:tcW w:w="4329" w:type="dxa"/>
            <w:gridSpan w:val="4"/>
            <w:tcBorders>
              <w:top w:val="single" w:color="auto" w:sz="4" w:space="0"/>
              <w:left w:val="nil"/>
              <w:bottom w:val="single" w:color="auto" w:sz="4" w:space="0"/>
              <w:right w:val="single" w:color="auto" w:sz="4" w:space="0"/>
            </w:tcBorders>
            <w:vAlign w:val="center"/>
          </w:tcPr>
          <w:p w14:paraId="45A9FCF4">
            <w:pPr>
              <w:widowControl/>
              <w:spacing w:line="240" w:lineRule="exact"/>
              <w:jc w:val="center"/>
              <w:rPr>
                <w:rFonts w:eastAsia="仿宋_GB2312"/>
                <w:color w:val="000000"/>
                <w:kern w:val="0"/>
                <w:szCs w:val="21"/>
              </w:rPr>
            </w:pPr>
            <w:r>
              <w:rPr>
                <w:rFonts w:hint="eastAsia" w:eastAsia="仿宋_GB2312"/>
                <w:color w:val="000000"/>
                <w:kern w:val="0"/>
                <w:szCs w:val="21"/>
              </w:rPr>
              <w:t>实际完成情况　</w:t>
            </w:r>
          </w:p>
        </w:tc>
      </w:tr>
      <w:tr w14:paraId="607307F6">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183A2DD0">
            <w:pPr>
              <w:widowControl/>
              <w:spacing w:line="240" w:lineRule="exact"/>
              <w:jc w:val="left"/>
              <w:rPr>
                <w:rFonts w:eastAsia="仿宋_GB2312"/>
                <w:color w:val="000000"/>
                <w:kern w:val="0"/>
                <w:szCs w:val="21"/>
              </w:rPr>
            </w:pPr>
          </w:p>
        </w:tc>
        <w:tc>
          <w:tcPr>
            <w:tcW w:w="4584" w:type="dxa"/>
            <w:gridSpan w:val="5"/>
            <w:tcBorders>
              <w:top w:val="single" w:color="auto" w:sz="4" w:space="0"/>
              <w:left w:val="nil"/>
              <w:bottom w:val="single" w:color="auto" w:sz="4" w:space="0"/>
              <w:right w:val="single" w:color="000000" w:sz="4" w:space="0"/>
            </w:tcBorders>
            <w:vAlign w:val="center"/>
          </w:tcPr>
          <w:p w14:paraId="31C41719">
            <w:pPr>
              <w:widowControl/>
              <w:spacing w:line="240" w:lineRule="exact"/>
              <w:jc w:val="left"/>
              <w:rPr>
                <w:rFonts w:eastAsia="仿宋_GB2312"/>
                <w:color w:val="000000"/>
                <w:kern w:val="0"/>
                <w:szCs w:val="21"/>
              </w:rPr>
            </w:pPr>
            <w:r>
              <w:rPr>
                <w:rFonts w:hint="eastAsia" w:eastAsia="仿宋_GB2312"/>
                <w:color w:val="000000"/>
                <w:kern w:val="0"/>
                <w:szCs w:val="21"/>
              </w:rPr>
              <w:t>党建工作持续加强，改革工作平稳有序，地质担当彰显有力，经济运行平稳过渡，队伍建设和谐稳定。</w:t>
            </w:r>
          </w:p>
        </w:tc>
        <w:tc>
          <w:tcPr>
            <w:tcW w:w="4329" w:type="dxa"/>
            <w:gridSpan w:val="4"/>
            <w:tcBorders>
              <w:top w:val="single" w:color="auto" w:sz="4" w:space="0"/>
              <w:left w:val="nil"/>
              <w:bottom w:val="single" w:color="auto" w:sz="4" w:space="0"/>
              <w:right w:val="single" w:color="auto" w:sz="4" w:space="0"/>
            </w:tcBorders>
            <w:vAlign w:val="center"/>
          </w:tcPr>
          <w:p w14:paraId="4563953E">
            <w:pPr>
              <w:widowControl/>
              <w:spacing w:line="240" w:lineRule="exact"/>
              <w:rPr>
                <w:rFonts w:eastAsia="仿宋_GB2312"/>
                <w:color w:val="000000"/>
                <w:kern w:val="0"/>
                <w:szCs w:val="21"/>
              </w:rPr>
            </w:pPr>
            <w:r>
              <w:rPr>
                <w:rFonts w:hint="eastAsia" w:eastAsia="仿宋_GB2312"/>
                <w:color w:val="000000"/>
                <w:kern w:val="0"/>
                <w:szCs w:val="21"/>
              </w:rPr>
              <w:t>按照年度总体目标，有序推进各项工作，已完成预期目标。</w:t>
            </w:r>
          </w:p>
        </w:tc>
      </w:tr>
      <w:tr w14:paraId="14CF0E96">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14:paraId="36F4A926">
            <w:pPr>
              <w:widowControl/>
              <w:spacing w:line="240" w:lineRule="exact"/>
              <w:jc w:val="center"/>
              <w:rPr>
                <w:rFonts w:eastAsia="仿宋_GB2312"/>
                <w:color w:val="000000"/>
                <w:kern w:val="0"/>
                <w:szCs w:val="21"/>
              </w:rPr>
            </w:pPr>
            <w:r>
              <w:rPr>
                <w:rFonts w:hint="eastAsia" w:eastAsia="仿宋_GB2312"/>
                <w:color w:val="000000"/>
                <w:kern w:val="0"/>
                <w:szCs w:val="21"/>
              </w:rPr>
              <w:t>绩</w:t>
            </w:r>
          </w:p>
          <w:p w14:paraId="17171C06">
            <w:pPr>
              <w:widowControl/>
              <w:spacing w:line="240" w:lineRule="exact"/>
              <w:jc w:val="center"/>
              <w:rPr>
                <w:rFonts w:eastAsia="仿宋_GB2312"/>
                <w:color w:val="000000"/>
                <w:kern w:val="0"/>
                <w:szCs w:val="21"/>
              </w:rPr>
            </w:pPr>
            <w:r>
              <w:rPr>
                <w:rFonts w:hint="eastAsia" w:eastAsia="仿宋_GB2312"/>
                <w:color w:val="000000"/>
                <w:kern w:val="0"/>
                <w:szCs w:val="21"/>
              </w:rPr>
              <w:t>效</w:t>
            </w:r>
          </w:p>
          <w:p w14:paraId="1533198E">
            <w:pPr>
              <w:widowControl/>
              <w:spacing w:line="240" w:lineRule="exact"/>
              <w:jc w:val="center"/>
              <w:rPr>
                <w:rFonts w:eastAsia="仿宋_GB2312"/>
                <w:color w:val="000000"/>
                <w:kern w:val="0"/>
                <w:szCs w:val="21"/>
              </w:rPr>
            </w:pPr>
            <w:r>
              <w:rPr>
                <w:rFonts w:hint="eastAsia" w:eastAsia="仿宋_GB2312"/>
                <w:color w:val="000000"/>
                <w:kern w:val="0"/>
                <w:szCs w:val="21"/>
              </w:rPr>
              <w:t>指</w:t>
            </w:r>
          </w:p>
          <w:p w14:paraId="6481D6F2">
            <w:pPr>
              <w:widowControl/>
              <w:spacing w:line="240" w:lineRule="exact"/>
              <w:jc w:val="center"/>
              <w:rPr>
                <w:rFonts w:eastAsia="仿宋_GB2312"/>
                <w:color w:val="000000"/>
                <w:kern w:val="0"/>
                <w:szCs w:val="21"/>
              </w:rPr>
            </w:pPr>
            <w:r>
              <w:rPr>
                <w:rFonts w:hint="eastAsia" w:eastAsia="仿宋_GB2312"/>
                <w:color w:val="000000"/>
                <w:kern w:val="0"/>
                <w:szCs w:val="21"/>
              </w:rPr>
              <w:t>标</w:t>
            </w:r>
          </w:p>
        </w:tc>
        <w:tc>
          <w:tcPr>
            <w:tcW w:w="1080" w:type="dxa"/>
            <w:tcBorders>
              <w:top w:val="nil"/>
              <w:left w:val="nil"/>
              <w:bottom w:val="single" w:color="auto" w:sz="4" w:space="0"/>
              <w:right w:val="single" w:color="auto" w:sz="4" w:space="0"/>
            </w:tcBorders>
            <w:vAlign w:val="center"/>
          </w:tcPr>
          <w:p w14:paraId="1C8FE35C">
            <w:pPr>
              <w:widowControl/>
              <w:spacing w:line="240" w:lineRule="exact"/>
              <w:jc w:val="center"/>
              <w:rPr>
                <w:rFonts w:eastAsia="仿宋_GB2312"/>
                <w:color w:val="000000"/>
                <w:kern w:val="0"/>
                <w:szCs w:val="21"/>
              </w:rPr>
            </w:pPr>
            <w:r>
              <w:rPr>
                <w:rFonts w:hint="eastAsia" w:eastAsia="仿宋_GB2312"/>
                <w:color w:val="000000"/>
                <w:kern w:val="0"/>
                <w:szCs w:val="21"/>
              </w:rPr>
              <w:t>一级指标</w:t>
            </w:r>
          </w:p>
        </w:tc>
        <w:tc>
          <w:tcPr>
            <w:tcW w:w="953" w:type="dxa"/>
            <w:tcBorders>
              <w:top w:val="nil"/>
              <w:left w:val="nil"/>
              <w:bottom w:val="single" w:color="auto" w:sz="4" w:space="0"/>
              <w:right w:val="single" w:color="auto" w:sz="4" w:space="0"/>
            </w:tcBorders>
            <w:vAlign w:val="center"/>
          </w:tcPr>
          <w:p w14:paraId="6D348BFE">
            <w:pPr>
              <w:widowControl/>
              <w:spacing w:line="240" w:lineRule="exact"/>
              <w:jc w:val="center"/>
              <w:rPr>
                <w:rFonts w:eastAsia="仿宋_GB2312"/>
                <w:color w:val="000000"/>
                <w:kern w:val="0"/>
                <w:szCs w:val="21"/>
              </w:rPr>
            </w:pPr>
            <w:r>
              <w:rPr>
                <w:rFonts w:hint="eastAsia" w:eastAsia="仿宋_GB2312"/>
                <w:color w:val="000000"/>
                <w:kern w:val="0"/>
                <w:szCs w:val="21"/>
              </w:rPr>
              <w:t>二级指标</w:t>
            </w:r>
          </w:p>
        </w:tc>
        <w:tc>
          <w:tcPr>
            <w:tcW w:w="1351" w:type="dxa"/>
            <w:gridSpan w:val="2"/>
            <w:tcBorders>
              <w:top w:val="nil"/>
              <w:left w:val="nil"/>
              <w:bottom w:val="single" w:color="auto" w:sz="4" w:space="0"/>
              <w:right w:val="single" w:color="auto" w:sz="4" w:space="0"/>
            </w:tcBorders>
            <w:vAlign w:val="center"/>
          </w:tcPr>
          <w:p w14:paraId="513318E5">
            <w:pPr>
              <w:widowControl/>
              <w:spacing w:line="240" w:lineRule="exact"/>
              <w:jc w:val="center"/>
              <w:rPr>
                <w:rFonts w:eastAsia="仿宋_GB2312"/>
                <w:color w:val="000000"/>
                <w:kern w:val="0"/>
                <w:szCs w:val="21"/>
              </w:rPr>
            </w:pPr>
            <w:r>
              <w:rPr>
                <w:rFonts w:hint="eastAsia" w:eastAsia="仿宋_GB2312"/>
                <w:color w:val="000000"/>
                <w:kern w:val="0"/>
                <w:szCs w:val="21"/>
              </w:rPr>
              <w:t>三级指标</w:t>
            </w:r>
          </w:p>
        </w:tc>
        <w:tc>
          <w:tcPr>
            <w:tcW w:w="1200" w:type="dxa"/>
            <w:tcBorders>
              <w:top w:val="nil"/>
              <w:left w:val="nil"/>
              <w:bottom w:val="single" w:color="auto" w:sz="4" w:space="0"/>
              <w:right w:val="single" w:color="auto" w:sz="4" w:space="0"/>
            </w:tcBorders>
            <w:vAlign w:val="center"/>
          </w:tcPr>
          <w:p w14:paraId="7E84053A">
            <w:pPr>
              <w:widowControl/>
              <w:spacing w:line="240" w:lineRule="exact"/>
              <w:jc w:val="center"/>
              <w:rPr>
                <w:rFonts w:eastAsia="仿宋_GB2312"/>
                <w:color w:val="000000"/>
                <w:kern w:val="0"/>
                <w:szCs w:val="21"/>
              </w:rPr>
            </w:pPr>
            <w:r>
              <w:rPr>
                <w:rFonts w:hint="eastAsia" w:eastAsia="仿宋_GB2312"/>
                <w:color w:val="000000"/>
                <w:kern w:val="0"/>
                <w:szCs w:val="21"/>
              </w:rPr>
              <w:t>年度</w:t>
            </w:r>
          </w:p>
          <w:p w14:paraId="7158196D">
            <w:pPr>
              <w:widowControl/>
              <w:spacing w:line="240" w:lineRule="exact"/>
              <w:jc w:val="center"/>
              <w:rPr>
                <w:rFonts w:eastAsia="仿宋_GB2312"/>
                <w:color w:val="000000"/>
                <w:kern w:val="0"/>
                <w:szCs w:val="21"/>
              </w:rPr>
            </w:pPr>
            <w:r>
              <w:rPr>
                <w:rFonts w:hint="eastAsia" w:eastAsia="仿宋_GB2312"/>
                <w:color w:val="000000"/>
                <w:kern w:val="0"/>
                <w:szCs w:val="21"/>
              </w:rPr>
              <w:t>指标值</w:t>
            </w:r>
          </w:p>
        </w:tc>
        <w:tc>
          <w:tcPr>
            <w:tcW w:w="1276" w:type="dxa"/>
            <w:tcBorders>
              <w:top w:val="nil"/>
              <w:left w:val="nil"/>
              <w:bottom w:val="single" w:color="auto" w:sz="4" w:space="0"/>
              <w:right w:val="single" w:color="auto" w:sz="4" w:space="0"/>
            </w:tcBorders>
            <w:vAlign w:val="center"/>
          </w:tcPr>
          <w:p w14:paraId="1EE422E8">
            <w:pPr>
              <w:widowControl/>
              <w:spacing w:line="240" w:lineRule="exact"/>
              <w:rPr>
                <w:rFonts w:eastAsia="仿宋_GB2312"/>
                <w:color w:val="000000"/>
                <w:kern w:val="0"/>
                <w:szCs w:val="21"/>
              </w:rPr>
            </w:pPr>
            <w:r>
              <w:rPr>
                <w:rFonts w:hint="eastAsia" w:eastAsia="仿宋_GB2312"/>
                <w:color w:val="000000"/>
                <w:kern w:val="0"/>
                <w:szCs w:val="21"/>
              </w:rPr>
              <w:t>实际完成值</w:t>
            </w:r>
          </w:p>
        </w:tc>
        <w:tc>
          <w:tcPr>
            <w:tcW w:w="709" w:type="dxa"/>
            <w:tcBorders>
              <w:top w:val="nil"/>
              <w:left w:val="nil"/>
              <w:bottom w:val="single" w:color="auto" w:sz="4" w:space="0"/>
              <w:right w:val="single" w:color="auto" w:sz="4" w:space="0"/>
            </w:tcBorders>
            <w:vAlign w:val="center"/>
          </w:tcPr>
          <w:p w14:paraId="536E0449">
            <w:pPr>
              <w:widowControl/>
              <w:spacing w:line="240" w:lineRule="exact"/>
              <w:jc w:val="center"/>
              <w:rPr>
                <w:rFonts w:eastAsia="仿宋_GB2312"/>
                <w:color w:val="000000"/>
                <w:kern w:val="0"/>
                <w:szCs w:val="21"/>
              </w:rPr>
            </w:pPr>
            <w:r>
              <w:rPr>
                <w:rFonts w:hint="eastAsia" w:eastAsia="仿宋_GB2312"/>
                <w:color w:val="000000"/>
                <w:kern w:val="0"/>
                <w:szCs w:val="21"/>
              </w:rPr>
              <w:t>分值</w:t>
            </w:r>
          </w:p>
        </w:tc>
        <w:tc>
          <w:tcPr>
            <w:tcW w:w="992" w:type="dxa"/>
            <w:tcBorders>
              <w:top w:val="nil"/>
              <w:left w:val="nil"/>
              <w:bottom w:val="single" w:color="auto" w:sz="4" w:space="0"/>
              <w:right w:val="single" w:color="auto" w:sz="4" w:space="0"/>
            </w:tcBorders>
            <w:vAlign w:val="center"/>
          </w:tcPr>
          <w:p w14:paraId="4CEC62FD">
            <w:pPr>
              <w:widowControl/>
              <w:spacing w:line="240" w:lineRule="exact"/>
              <w:jc w:val="center"/>
              <w:rPr>
                <w:rFonts w:eastAsia="仿宋_GB2312"/>
                <w:color w:val="000000"/>
                <w:kern w:val="0"/>
                <w:szCs w:val="21"/>
              </w:rPr>
            </w:pPr>
            <w:r>
              <w:rPr>
                <w:rFonts w:hint="eastAsia" w:eastAsia="仿宋_GB2312"/>
                <w:color w:val="000000"/>
                <w:kern w:val="0"/>
                <w:szCs w:val="21"/>
              </w:rPr>
              <w:t>得分</w:t>
            </w:r>
          </w:p>
        </w:tc>
        <w:tc>
          <w:tcPr>
            <w:tcW w:w="1352" w:type="dxa"/>
            <w:tcBorders>
              <w:top w:val="nil"/>
              <w:left w:val="nil"/>
              <w:bottom w:val="single" w:color="auto" w:sz="4" w:space="0"/>
              <w:right w:val="single" w:color="auto" w:sz="4" w:space="0"/>
            </w:tcBorders>
            <w:vAlign w:val="center"/>
          </w:tcPr>
          <w:p w14:paraId="2990D6C5">
            <w:pPr>
              <w:widowControl/>
              <w:spacing w:line="240" w:lineRule="exact"/>
              <w:jc w:val="center"/>
              <w:rPr>
                <w:rFonts w:eastAsia="仿宋_GB2312"/>
                <w:color w:val="000000"/>
                <w:kern w:val="0"/>
                <w:szCs w:val="21"/>
              </w:rPr>
            </w:pPr>
            <w:r>
              <w:rPr>
                <w:rFonts w:hint="eastAsia" w:eastAsia="仿宋_GB2312"/>
                <w:color w:val="000000"/>
                <w:kern w:val="0"/>
                <w:szCs w:val="21"/>
              </w:rPr>
              <w:t>偏差原因</w:t>
            </w:r>
          </w:p>
          <w:p w14:paraId="78ED7AF6">
            <w:pPr>
              <w:widowControl/>
              <w:spacing w:line="240" w:lineRule="exact"/>
              <w:jc w:val="center"/>
              <w:rPr>
                <w:rFonts w:eastAsia="仿宋_GB2312"/>
                <w:color w:val="000000"/>
                <w:kern w:val="0"/>
                <w:szCs w:val="21"/>
              </w:rPr>
            </w:pPr>
            <w:r>
              <w:rPr>
                <w:rFonts w:hint="eastAsia" w:eastAsia="仿宋_GB2312"/>
                <w:color w:val="000000"/>
                <w:kern w:val="0"/>
                <w:szCs w:val="21"/>
              </w:rPr>
              <w:t>分析及</w:t>
            </w:r>
          </w:p>
          <w:p w14:paraId="4D5EC13F">
            <w:pPr>
              <w:widowControl/>
              <w:spacing w:line="240" w:lineRule="exact"/>
              <w:jc w:val="center"/>
              <w:rPr>
                <w:rFonts w:eastAsia="仿宋_GB2312"/>
                <w:color w:val="000000"/>
                <w:kern w:val="0"/>
                <w:szCs w:val="21"/>
              </w:rPr>
            </w:pPr>
            <w:r>
              <w:rPr>
                <w:rFonts w:hint="eastAsia" w:eastAsia="仿宋_GB2312"/>
                <w:color w:val="000000"/>
                <w:kern w:val="0"/>
                <w:szCs w:val="21"/>
              </w:rPr>
              <w:t>改进措施</w:t>
            </w:r>
          </w:p>
        </w:tc>
      </w:tr>
      <w:tr w14:paraId="5B09EE6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7B6D141C">
            <w:pPr>
              <w:spacing w:line="240" w:lineRule="exact"/>
              <w:jc w:val="left"/>
              <w:rPr>
                <w:rFonts w:eastAsia="仿宋_GB2312"/>
                <w:color w:val="000000"/>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653AEE8">
            <w:pPr>
              <w:widowControl/>
              <w:spacing w:line="240" w:lineRule="exact"/>
              <w:jc w:val="center"/>
              <w:rPr>
                <w:rFonts w:eastAsia="仿宋_GB2312"/>
                <w:color w:val="000000"/>
                <w:kern w:val="0"/>
                <w:szCs w:val="21"/>
              </w:rPr>
            </w:pPr>
            <w:r>
              <w:rPr>
                <w:rFonts w:hint="eastAsia" w:eastAsia="仿宋_GB2312"/>
                <w:color w:val="000000"/>
                <w:kern w:val="0"/>
                <w:szCs w:val="21"/>
              </w:rPr>
              <w:t>产出指标</w:t>
            </w:r>
          </w:p>
          <w:p w14:paraId="456A421E">
            <w:pPr>
              <w:widowControl/>
              <w:spacing w:line="240" w:lineRule="exact"/>
              <w:jc w:val="center"/>
              <w:rPr>
                <w:rFonts w:eastAsia="仿宋_GB2312"/>
                <w:color w:val="000000"/>
                <w:kern w:val="0"/>
                <w:szCs w:val="21"/>
              </w:rPr>
            </w:pPr>
          </w:p>
          <w:p w14:paraId="491518C9">
            <w:pPr>
              <w:widowControl/>
              <w:spacing w:line="240" w:lineRule="exact"/>
              <w:jc w:val="center"/>
              <w:rPr>
                <w:rFonts w:eastAsia="仿宋_GB2312"/>
                <w:color w:val="000000"/>
                <w:kern w:val="0"/>
                <w:szCs w:val="21"/>
              </w:rPr>
            </w:pPr>
            <w:r>
              <w:rPr>
                <w:rFonts w:eastAsia="仿宋_GB2312"/>
                <w:color w:val="000000"/>
                <w:kern w:val="0"/>
                <w:szCs w:val="21"/>
              </w:rPr>
              <w:t>(50</w:t>
            </w:r>
            <w:r>
              <w:rPr>
                <w:rFonts w:hint="eastAsia" w:eastAsia="仿宋_GB2312"/>
                <w:color w:val="000000"/>
                <w:kern w:val="0"/>
                <w:szCs w:val="21"/>
              </w:rPr>
              <w:t>分</w:t>
            </w:r>
            <w:r>
              <w:rPr>
                <w:rFonts w:eastAsia="仿宋_GB2312"/>
                <w:color w:val="000000"/>
                <w:kern w:val="0"/>
                <w:szCs w:val="21"/>
              </w:rPr>
              <w:t>)</w:t>
            </w:r>
          </w:p>
        </w:tc>
        <w:tc>
          <w:tcPr>
            <w:tcW w:w="953" w:type="dxa"/>
            <w:vMerge w:val="restart"/>
            <w:tcBorders>
              <w:top w:val="single" w:color="auto" w:sz="4" w:space="0"/>
              <w:left w:val="single" w:color="auto" w:sz="4" w:space="0"/>
              <w:bottom w:val="single" w:color="auto" w:sz="4" w:space="0"/>
              <w:right w:val="single" w:color="auto" w:sz="4" w:space="0"/>
            </w:tcBorders>
            <w:vAlign w:val="center"/>
          </w:tcPr>
          <w:p w14:paraId="4741515F">
            <w:pPr>
              <w:widowControl/>
              <w:spacing w:line="240" w:lineRule="exact"/>
              <w:jc w:val="center"/>
              <w:rPr>
                <w:rFonts w:eastAsia="仿宋_GB2312"/>
                <w:color w:val="000000"/>
                <w:kern w:val="0"/>
                <w:szCs w:val="21"/>
              </w:rPr>
            </w:pPr>
            <w:r>
              <w:rPr>
                <w:rFonts w:hint="eastAsia" w:eastAsia="仿宋_GB2312"/>
                <w:color w:val="000000"/>
                <w:kern w:val="0"/>
                <w:szCs w:val="21"/>
              </w:rPr>
              <w:t>数量指标</w:t>
            </w:r>
          </w:p>
        </w:tc>
        <w:tc>
          <w:tcPr>
            <w:tcW w:w="1351" w:type="dxa"/>
            <w:gridSpan w:val="2"/>
            <w:tcBorders>
              <w:top w:val="nil"/>
              <w:left w:val="nil"/>
              <w:bottom w:val="single" w:color="auto" w:sz="4" w:space="0"/>
              <w:right w:val="single" w:color="auto" w:sz="4" w:space="0"/>
            </w:tcBorders>
            <w:vAlign w:val="center"/>
          </w:tcPr>
          <w:p w14:paraId="51526F98">
            <w:pPr>
              <w:widowControl/>
              <w:spacing w:line="240" w:lineRule="exact"/>
              <w:jc w:val="left"/>
              <w:rPr>
                <w:rFonts w:eastAsia="仿宋_GB2312"/>
                <w:color w:val="000000"/>
                <w:kern w:val="0"/>
                <w:szCs w:val="21"/>
              </w:rPr>
            </w:pPr>
            <w:r>
              <w:rPr>
                <w:rFonts w:hint="eastAsia" w:eastAsia="仿宋_GB2312"/>
                <w:color w:val="000000"/>
                <w:kern w:val="0"/>
                <w:szCs w:val="21"/>
              </w:rPr>
              <w:t>收入完成率</w:t>
            </w:r>
          </w:p>
        </w:tc>
        <w:tc>
          <w:tcPr>
            <w:tcW w:w="1200" w:type="dxa"/>
            <w:tcBorders>
              <w:top w:val="nil"/>
              <w:left w:val="nil"/>
              <w:bottom w:val="single" w:color="auto" w:sz="4" w:space="0"/>
              <w:right w:val="single" w:color="auto" w:sz="4" w:space="0"/>
            </w:tcBorders>
            <w:vAlign w:val="center"/>
          </w:tcPr>
          <w:p w14:paraId="7AD80492">
            <w:pPr>
              <w:widowControl/>
              <w:spacing w:line="240" w:lineRule="exact"/>
              <w:jc w:val="left"/>
              <w:rPr>
                <w:rFonts w:eastAsia="仿宋_GB2312"/>
                <w:color w:val="000000"/>
                <w:kern w:val="0"/>
                <w:szCs w:val="21"/>
              </w:rPr>
            </w:pPr>
            <w:r>
              <w:rPr>
                <w:rFonts w:hint="eastAsia" w:eastAsia="仿宋_GB2312"/>
                <w:color w:val="000000"/>
                <w:kern w:val="0"/>
                <w:szCs w:val="21"/>
              </w:rPr>
              <w:t>(预算收入实际数/预算数)*100%</w:t>
            </w:r>
          </w:p>
        </w:tc>
        <w:tc>
          <w:tcPr>
            <w:tcW w:w="1276" w:type="dxa"/>
            <w:tcBorders>
              <w:top w:val="nil"/>
              <w:left w:val="nil"/>
              <w:bottom w:val="single" w:color="auto" w:sz="4" w:space="0"/>
              <w:right w:val="single" w:color="auto" w:sz="4" w:space="0"/>
            </w:tcBorders>
            <w:vAlign w:val="center"/>
          </w:tcPr>
          <w:p w14:paraId="6D8266C2">
            <w:pPr>
              <w:widowControl/>
              <w:spacing w:line="240" w:lineRule="exact"/>
              <w:jc w:val="center"/>
              <w:rPr>
                <w:rFonts w:eastAsia="仿宋_GB2312"/>
                <w:color w:val="000000"/>
                <w:kern w:val="0"/>
                <w:szCs w:val="21"/>
              </w:rPr>
            </w:pPr>
            <w:r>
              <w:rPr>
                <w:rFonts w:hint="eastAsia" w:eastAsia="仿宋_GB2312"/>
                <w:color w:val="000000"/>
                <w:kern w:val="0"/>
                <w:szCs w:val="21"/>
              </w:rPr>
              <w:t>100%</w:t>
            </w:r>
          </w:p>
        </w:tc>
        <w:tc>
          <w:tcPr>
            <w:tcW w:w="709" w:type="dxa"/>
            <w:tcBorders>
              <w:top w:val="nil"/>
              <w:left w:val="nil"/>
              <w:bottom w:val="single" w:color="auto" w:sz="4" w:space="0"/>
              <w:right w:val="single" w:color="auto" w:sz="4" w:space="0"/>
            </w:tcBorders>
            <w:vAlign w:val="center"/>
          </w:tcPr>
          <w:p w14:paraId="5186D941">
            <w:pPr>
              <w:widowControl/>
              <w:spacing w:line="240" w:lineRule="exact"/>
              <w:jc w:val="center"/>
              <w:rPr>
                <w:rFonts w:eastAsia="仿宋_GB2312"/>
                <w:color w:val="000000"/>
                <w:kern w:val="0"/>
                <w:szCs w:val="21"/>
              </w:rPr>
            </w:pPr>
            <w:r>
              <w:rPr>
                <w:rFonts w:hint="eastAsia" w:eastAsia="仿宋_GB2312"/>
                <w:color w:val="000000"/>
                <w:kern w:val="0"/>
                <w:szCs w:val="21"/>
              </w:rPr>
              <w:t>15</w:t>
            </w:r>
          </w:p>
        </w:tc>
        <w:tc>
          <w:tcPr>
            <w:tcW w:w="992" w:type="dxa"/>
            <w:tcBorders>
              <w:top w:val="nil"/>
              <w:left w:val="nil"/>
              <w:bottom w:val="single" w:color="auto" w:sz="4" w:space="0"/>
              <w:right w:val="single" w:color="auto" w:sz="4" w:space="0"/>
            </w:tcBorders>
            <w:vAlign w:val="center"/>
          </w:tcPr>
          <w:p w14:paraId="2DEDFECF">
            <w:pPr>
              <w:widowControl/>
              <w:spacing w:line="240" w:lineRule="exact"/>
              <w:jc w:val="center"/>
              <w:rPr>
                <w:rFonts w:eastAsia="仿宋_GB2312"/>
                <w:color w:val="000000"/>
                <w:kern w:val="0"/>
                <w:szCs w:val="21"/>
              </w:rPr>
            </w:pPr>
            <w:r>
              <w:rPr>
                <w:rFonts w:hint="eastAsia" w:eastAsia="仿宋_GB2312"/>
                <w:color w:val="000000"/>
                <w:kern w:val="0"/>
                <w:szCs w:val="21"/>
              </w:rPr>
              <w:t>15</w:t>
            </w:r>
          </w:p>
        </w:tc>
        <w:tc>
          <w:tcPr>
            <w:tcW w:w="1352" w:type="dxa"/>
            <w:tcBorders>
              <w:top w:val="nil"/>
              <w:left w:val="nil"/>
              <w:bottom w:val="single" w:color="auto" w:sz="4" w:space="0"/>
              <w:right w:val="single" w:color="auto" w:sz="4" w:space="0"/>
            </w:tcBorders>
            <w:vAlign w:val="center"/>
          </w:tcPr>
          <w:p w14:paraId="73F20E3C">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14:paraId="5C9C685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6406F6E1">
            <w:pPr>
              <w:spacing w:line="240" w:lineRule="exact"/>
              <w:jc w:val="left"/>
              <w:rPr>
                <w:rFonts w:eastAsia="仿宋_GB2312"/>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0E0776B">
            <w:pPr>
              <w:spacing w:line="240" w:lineRule="exact"/>
              <w:jc w:val="left"/>
              <w:rPr>
                <w:rFonts w:eastAsia="仿宋_GB2312"/>
                <w:color w:val="000000"/>
                <w:kern w:val="0"/>
                <w:szCs w:val="21"/>
              </w:rPr>
            </w:pPr>
          </w:p>
        </w:tc>
        <w:tc>
          <w:tcPr>
            <w:tcW w:w="953" w:type="dxa"/>
            <w:vMerge w:val="continue"/>
            <w:tcBorders>
              <w:top w:val="single" w:color="auto" w:sz="4" w:space="0"/>
              <w:left w:val="single" w:color="auto" w:sz="4" w:space="0"/>
              <w:bottom w:val="single" w:color="auto" w:sz="4" w:space="0"/>
              <w:right w:val="single" w:color="auto" w:sz="4" w:space="0"/>
            </w:tcBorders>
            <w:vAlign w:val="center"/>
          </w:tcPr>
          <w:p w14:paraId="075DBC1A">
            <w:pPr>
              <w:spacing w:line="240" w:lineRule="exact"/>
              <w:jc w:val="center"/>
              <w:rPr>
                <w:rFonts w:eastAsia="仿宋_GB2312"/>
                <w:color w:val="000000"/>
                <w:kern w:val="0"/>
                <w:szCs w:val="21"/>
              </w:rPr>
            </w:pPr>
          </w:p>
        </w:tc>
        <w:tc>
          <w:tcPr>
            <w:tcW w:w="1351" w:type="dxa"/>
            <w:gridSpan w:val="2"/>
            <w:tcBorders>
              <w:top w:val="nil"/>
              <w:left w:val="nil"/>
              <w:bottom w:val="single" w:color="auto" w:sz="4" w:space="0"/>
              <w:right w:val="single" w:color="auto" w:sz="4" w:space="0"/>
            </w:tcBorders>
            <w:vAlign w:val="center"/>
          </w:tcPr>
          <w:p w14:paraId="42012D48">
            <w:pPr>
              <w:widowControl/>
              <w:spacing w:line="240" w:lineRule="exact"/>
              <w:jc w:val="left"/>
              <w:rPr>
                <w:rFonts w:eastAsia="仿宋_GB2312"/>
                <w:color w:val="000000"/>
                <w:kern w:val="0"/>
                <w:szCs w:val="21"/>
              </w:rPr>
            </w:pPr>
            <w:r>
              <w:rPr>
                <w:rFonts w:hint="eastAsia" w:eastAsia="仿宋_GB2312"/>
                <w:color w:val="000000"/>
                <w:kern w:val="0"/>
                <w:szCs w:val="21"/>
              </w:rPr>
              <w:t>支出完成率</w:t>
            </w:r>
          </w:p>
        </w:tc>
        <w:tc>
          <w:tcPr>
            <w:tcW w:w="1200" w:type="dxa"/>
            <w:tcBorders>
              <w:top w:val="nil"/>
              <w:left w:val="nil"/>
              <w:bottom w:val="single" w:color="auto" w:sz="4" w:space="0"/>
              <w:right w:val="single" w:color="auto" w:sz="4" w:space="0"/>
            </w:tcBorders>
            <w:vAlign w:val="center"/>
          </w:tcPr>
          <w:p w14:paraId="6A1DE9D9">
            <w:pPr>
              <w:widowControl/>
              <w:spacing w:line="240" w:lineRule="exact"/>
              <w:jc w:val="left"/>
              <w:rPr>
                <w:rFonts w:eastAsia="仿宋_GB2312"/>
                <w:color w:val="000000"/>
                <w:kern w:val="0"/>
                <w:szCs w:val="21"/>
              </w:rPr>
            </w:pPr>
            <w:r>
              <w:rPr>
                <w:rFonts w:hint="eastAsia" w:eastAsia="仿宋_GB2312"/>
                <w:color w:val="000000"/>
                <w:kern w:val="0"/>
                <w:szCs w:val="21"/>
              </w:rPr>
              <w:t>(预算支出完成数/支出预算数) *100%</w:t>
            </w:r>
          </w:p>
        </w:tc>
        <w:tc>
          <w:tcPr>
            <w:tcW w:w="1276" w:type="dxa"/>
            <w:tcBorders>
              <w:top w:val="nil"/>
              <w:left w:val="nil"/>
              <w:bottom w:val="single" w:color="auto" w:sz="4" w:space="0"/>
              <w:right w:val="single" w:color="auto" w:sz="4" w:space="0"/>
            </w:tcBorders>
            <w:vAlign w:val="center"/>
          </w:tcPr>
          <w:p w14:paraId="3C7E5A16">
            <w:pPr>
              <w:widowControl/>
              <w:spacing w:line="240" w:lineRule="exact"/>
              <w:jc w:val="center"/>
              <w:rPr>
                <w:rFonts w:eastAsia="仿宋_GB2312"/>
                <w:color w:val="000000"/>
                <w:kern w:val="0"/>
                <w:szCs w:val="21"/>
              </w:rPr>
            </w:pPr>
            <w:r>
              <w:rPr>
                <w:rFonts w:hint="eastAsia" w:eastAsia="仿宋_GB2312"/>
                <w:color w:val="000000"/>
                <w:kern w:val="0"/>
                <w:szCs w:val="21"/>
              </w:rPr>
              <w:t>94.43%</w:t>
            </w:r>
          </w:p>
        </w:tc>
        <w:tc>
          <w:tcPr>
            <w:tcW w:w="709" w:type="dxa"/>
            <w:tcBorders>
              <w:top w:val="nil"/>
              <w:left w:val="nil"/>
              <w:bottom w:val="single" w:color="auto" w:sz="4" w:space="0"/>
              <w:right w:val="single" w:color="auto" w:sz="4" w:space="0"/>
            </w:tcBorders>
            <w:vAlign w:val="center"/>
          </w:tcPr>
          <w:p w14:paraId="7CC6DB6F">
            <w:pPr>
              <w:widowControl/>
              <w:spacing w:line="240" w:lineRule="exact"/>
              <w:jc w:val="center"/>
              <w:rPr>
                <w:rFonts w:eastAsia="仿宋_GB2312"/>
                <w:color w:val="000000"/>
                <w:kern w:val="0"/>
                <w:szCs w:val="21"/>
              </w:rPr>
            </w:pPr>
            <w:r>
              <w:rPr>
                <w:rFonts w:hint="eastAsia" w:eastAsia="仿宋_GB2312"/>
                <w:color w:val="000000"/>
                <w:kern w:val="0"/>
                <w:szCs w:val="21"/>
              </w:rPr>
              <w:t>15</w:t>
            </w:r>
          </w:p>
        </w:tc>
        <w:tc>
          <w:tcPr>
            <w:tcW w:w="992" w:type="dxa"/>
            <w:tcBorders>
              <w:top w:val="nil"/>
              <w:left w:val="nil"/>
              <w:bottom w:val="single" w:color="auto" w:sz="4" w:space="0"/>
              <w:right w:val="single" w:color="auto" w:sz="4" w:space="0"/>
            </w:tcBorders>
            <w:vAlign w:val="center"/>
          </w:tcPr>
          <w:p w14:paraId="09A359C6">
            <w:pPr>
              <w:widowControl/>
              <w:spacing w:line="240" w:lineRule="exact"/>
              <w:jc w:val="center"/>
              <w:rPr>
                <w:rFonts w:eastAsia="仿宋_GB2312"/>
                <w:color w:val="000000"/>
                <w:kern w:val="0"/>
                <w:szCs w:val="21"/>
              </w:rPr>
            </w:pPr>
            <w:r>
              <w:rPr>
                <w:rFonts w:hint="eastAsia" w:eastAsia="仿宋_GB2312"/>
                <w:color w:val="000000"/>
                <w:kern w:val="0"/>
                <w:szCs w:val="21"/>
              </w:rPr>
              <w:t>14</w:t>
            </w:r>
          </w:p>
        </w:tc>
        <w:tc>
          <w:tcPr>
            <w:tcW w:w="1352" w:type="dxa"/>
            <w:tcBorders>
              <w:top w:val="nil"/>
              <w:left w:val="nil"/>
              <w:bottom w:val="single" w:color="auto" w:sz="4" w:space="0"/>
              <w:right w:val="single" w:color="auto" w:sz="4" w:space="0"/>
            </w:tcBorders>
            <w:vAlign w:val="center"/>
          </w:tcPr>
          <w:p w14:paraId="712FDC90">
            <w:pPr>
              <w:widowControl/>
              <w:spacing w:line="240" w:lineRule="exact"/>
              <w:jc w:val="left"/>
              <w:rPr>
                <w:rFonts w:eastAsia="仿宋_GB2312"/>
                <w:color w:val="000000"/>
                <w:kern w:val="0"/>
                <w:szCs w:val="21"/>
              </w:rPr>
            </w:pPr>
            <w:r>
              <w:rPr>
                <w:rFonts w:hint="eastAsia" w:eastAsia="仿宋_GB2312"/>
                <w:color w:val="000000"/>
                <w:kern w:val="0"/>
                <w:szCs w:val="21"/>
              </w:rPr>
              <w:t>财政项目资金结余；加大执行力度。　</w:t>
            </w:r>
          </w:p>
        </w:tc>
      </w:tr>
      <w:tr w14:paraId="0243FE8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5248DCCE">
            <w:pPr>
              <w:spacing w:line="240" w:lineRule="exact"/>
              <w:jc w:val="left"/>
              <w:rPr>
                <w:rFonts w:eastAsia="仿宋_GB2312"/>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45698D2">
            <w:pPr>
              <w:spacing w:line="240" w:lineRule="exact"/>
              <w:jc w:val="left"/>
              <w:rPr>
                <w:rFonts w:eastAsia="仿宋_GB2312"/>
                <w:color w:val="000000"/>
                <w:kern w:val="0"/>
                <w:szCs w:val="21"/>
              </w:rPr>
            </w:pPr>
          </w:p>
        </w:tc>
        <w:tc>
          <w:tcPr>
            <w:tcW w:w="953" w:type="dxa"/>
            <w:tcBorders>
              <w:top w:val="single" w:color="auto" w:sz="4" w:space="0"/>
              <w:left w:val="single" w:color="auto" w:sz="4" w:space="0"/>
              <w:bottom w:val="single" w:color="auto" w:sz="4" w:space="0"/>
              <w:right w:val="single" w:color="auto" w:sz="4" w:space="0"/>
            </w:tcBorders>
            <w:vAlign w:val="center"/>
          </w:tcPr>
          <w:p w14:paraId="771B0F07">
            <w:pPr>
              <w:widowControl/>
              <w:spacing w:line="240" w:lineRule="exact"/>
              <w:jc w:val="center"/>
              <w:rPr>
                <w:rFonts w:eastAsia="仿宋_GB2312"/>
                <w:color w:val="000000"/>
                <w:kern w:val="0"/>
                <w:szCs w:val="21"/>
              </w:rPr>
            </w:pPr>
            <w:r>
              <w:rPr>
                <w:rFonts w:hint="eastAsia" w:eastAsia="仿宋_GB2312"/>
                <w:color w:val="000000"/>
                <w:kern w:val="0"/>
                <w:szCs w:val="21"/>
              </w:rPr>
              <w:t>质量指标</w:t>
            </w:r>
          </w:p>
        </w:tc>
        <w:tc>
          <w:tcPr>
            <w:tcW w:w="1351" w:type="dxa"/>
            <w:gridSpan w:val="2"/>
            <w:tcBorders>
              <w:top w:val="nil"/>
              <w:left w:val="nil"/>
              <w:bottom w:val="single" w:color="auto" w:sz="4" w:space="0"/>
              <w:right w:val="single" w:color="auto" w:sz="4" w:space="0"/>
            </w:tcBorders>
            <w:vAlign w:val="center"/>
          </w:tcPr>
          <w:p w14:paraId="5AA1EF9D">
            <w:pPr>
              <w:widowControl/>
              <w:spacing w:line="240" w:lineRule="exact"/>
              <w:jc w:val="left"/>
              <w:rPr>
                <w:rFonts w:eastAsia="仿宋_GB2312"/>
                <w:color w:val="000000"/>
                <w:kern w:val="0"/>
                <w:szCs w:val="21"/>
              </w:rPr>
            </w:pPr>
            <w:r>
              <w:rPr>
                <w:rFonts w:hint="eastAsia" w:eastAsia="仿宋_GB2312"/>
                <w:color w:val="000000"/>
                <w:kern w:val="0"/>
                <w:szCs w:val="21"/>
              </w:rPr>
              <w:t>资金使用合规性</w:t>
            </w:r>
          </w:p>
        </w:tc>
        <w:tc>
          <w:tcPr>
            <w:tcW w:w="1200" w:type="dxa"/>
            <w:tcBorders>
              <w:top w:val="nil"/>
              <w:left w:val="nil"/>
              <w:bottom w:val="single" w:color="auto" w:sz="4" w:space="0"/>
              <w:right w:val="single" w:color="auto" w:sz="4" w:space="0"/>
            </w:tcBorders>
            <w:vAlign w:val="center"/>
          </w:tcPr>
          <w:p w14:paraId="058DF529">
            <w:pPr>
              <w:widowControl/>
              <w:spacing w:line="240" w:lineRule="exact"/>
              <w:jc w:val="left"/>
              <w:rPr>
                <w:rFonts w:eastAsia="仿宋_GB2312"/>
                <w:color w:val="000000"/>
                <w:kern w:val="0"/>
                <w:szCs w:val="21"/>
              </w:rPr>
            </w:pPr>
            <w:r>
              <w:rPr>
                <w:rFonts w:hint="eastAsia" w:eastAsia="仿宋_GB2312"/>
                <w:color w:val="000000"/>
                <w:kern w:val="0"/>
                <w:szCs w:val="21"/>
              </w:rPr>
              <w:t>资金使用合法合规　</w:t>
            </w:r>
          </w:p>
        </w:tc>
        <w:tc>
          <w:tcPr>
            <w:tcW w:w="1276" w:type="dxa"/>
            <w:tcBorders>
              <w:top w:val="nil"/>
              <w:left w:val="nil"/>
              <w:bottom w:val="single" w:color="auto" w:sz="4" w:space="0"/>
              <w:right w:val="single" w:color="auto" w:sz="4" w:space="0"/>
            </w:tcBorders>
            <w:vAlign w:val="center"/>
          </w:tcPr>
          <w:p w14:paraId="645ABDA3">
            <w:pPr>
              <w:widowControl/>
              <w:spacing w:line="240" w:lineRule="exact"/>
              <w:jc w:val="center"/>
              <w:rPr>
                <w:rFonts w:eastAsia="仿宋_GB2312"/>
                <w:color w:val="000000"/>
                <w:kern w:val="0"/>
                <w:szCs w:val="21"/>
              </w:rPr>
            </w:pPr>
            <w:r>
              <w:rPr>
                <w:rFonts w:hint="eastAsia" w:eastAsia="仿宋_GB2312"/>
                <w:color w:val="000000"/>
                <w:kern w:val="0"/>
                <w:szCs w:val="21"/>
              </w:rPr>
              <w:t>100%</w:t>
            </w:r>
          </w:p>
        </w:tc>
        <w:tc>
          <w:tcPr>
            <w:tcW w:w="709" w:type="dxa"/>
            <w:tcBorders>
              <w:top w:val="nil"/>
              <w:left w:val="nil"/>
              <w:bottom w:val="single" w:color="auto" w:sz="4" w:space="0"/>
              <w:right w:val="single" w:color="auto" w:sz="4" w:space="0"/>
            </w:tcBorders>
            <w:vAlign w:val="center"/>
          </w:tcPr>
          <w:p w14:paraId="203FE6DB">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992" w:type="dxa"/>
            <w:tcBorders>
              <w:top w:val="nil"/>
              <w:left w:val="nil"/>
              <w:bottom w:val="single" w:color="auto" w:sz="4" w:space="0"/>
              <w:right w:val="single" w:color="auto" w:sz="4" w:space="0"/>
            </w:tcBorders>
            <w:vAlign w:val="center"/>
          </w:tcPr>
          <w:p w14:paraId="2AA2BA55">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1352" w:type="dxa"/>
            <w:tcBorders>
              <w:top w:val="nil"/>
              <w:left w:val="nil"/>
              <w:bottom w:val="single" w:color="auto" w:sz="4" w:space="0"/>
              <w:right w:val="single" w:color="auto" w:sz="4" w:space="0"/>
            </w:tcBorders>
            <w:vAlign w:val="center"/>
          </w:tcPr>
          <w:p w14:paraId="7E9C02C5">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14:paraId="4A4EF1F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5D80CE8E">
            <w:pPr>
              <w:spacing w:line="240" w:lineRule="exact"/>
              <w:jc w:val="left"/>
              <w:rPr>
                <w:rFonts w:eastAsia="仿宋_GB2312"/>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ED903F8">
            <w:pPr>
              <w:spacing w:line="240" w:lineRule="exact"/>
              <w:jc w:val="left"/>
              <w:rPr>
                <w:rFonts w:eastAsia="仿宋_GB2312"/>
                <w:color w:val="000000"/>
                <w:kern w:val="0"/>
                <w:szCs w:val="21"/>
              </w:rPr>
            </w:pPr>
          </w:p>
        </w:tc>
        <w:tc>
          <w:tcPr>
            <w:tcW w:w="953" w:type="dxa"/>
            <w:tcBorders>
              <w:top w:val="single" w:color="auto" w:sz="4" w:space="0"/>
              <w:left w:val="single" w:color="auto" w:sz="4" w:space="0"/>
              <w:bottom w:val="single" w:color="auto" w:sz="4" w:space="0"/>
              <w:right w:val="single" w:color="auto" w:sz="4" w:space="0"/>
            </w:tcBorders>
            <w:vAlign w:val="center"/>
          </w:tcPr>
          <w:p w14:paraId="12A67162">
            <w:pPr>
              <w:widowControl/>
              <w:spacing w:line="240" w:lineRule="exact"/>
              <w:jc w:val="center"/>
              <w:rPr>
                <w:rFonts w:eastAsia="仿宋_GB2312"/>
                <w:color w:val="000000"/>
                <w:kern w:val="0"/>
                <w:szCs w:val="21"/>
              </w:rPr>
            </w:pPr>
            <w:r>
              <w:rPr>
                <w:rFonts w:hint="eastAsia" w:eastAsia="仿宋_GB2312"/>
                <w:color w:val="000000"/>
                <w:kern w:val="0"/>
                <w:szCs w:val="21"/>
              </w:rPr>
              <w:t>时效指标</w:t>
            </w:r>
          </w:p>
        </w:tc>
        <w:tc>
          <w:tcPr>
            <w:tcW w:w="1351" w:type="dxa"/>
            <w:gridSpan w:val="2"/>
            <w:tcBorders>
              <w:top w:val="nil"/>
              <w:left w:val="nil"/>
              <w:bottom w:val="single" w:color="auto" w:sz="4" w:space="0"/>
              <w:right w:val="single" w:color="auto" w:sz="4" w:space="0"/>
            </w:tcBorders>
            <w:vAlign w:val="center"/>
          </w:tcPr>
          <w:p w14:paraId="624F12B2">
            <w:pPr>
              <w:widowControl/>
              <w:spacing w:line="240" w:lineRule="exact"/>
              <w:jc w:val="left"/>
              <w:rPr>
                <w:rFonts w:eastAsia="仿宋_GB2312"/>
                <w:color w:val="000000"/>
                <w:kern w:val="0"/>
                <w:szCs w:val="21"/>
              </w:rPr>
            </w:pPr>
            <w:r>
              <w:rPr>
                <w:rFonts w:hint="eastAsia" w:eastAsia="仿宋_GB2312"/>
                <w:color w:val="000000"/>
                <w:kern w:val="0"/>
                <w:szCs w:val="21"/>
              </w:rPr>
              <w:t>预决算公开</w:t>
            </w:r>
          </w:p>
        </w:tc>
        <w:tc>
          <w:tcPr>
            <w:tcW w:w="1200" w:type="dxa"/>
            <w:tcBorders>
              <w:top w:val="nil"/>
              <w:left w:val="nil"/>
              <w:bottom w:val="single" w:color="auto" w:sz="4" w:space="0"/>
              <w:right w:val="single" w:color="auto" w:sz="4" w:space="0"/>
            </w:tcBorders>
            <w:vAlign w:val="center"/>
          </w:tcPr>
          <w:p w14:paraId="1B800E56">
            <w:pPr>
              <w:widowControl/>
              <w:spacing w:line="240" w:lineRule="exact"/>
              <w:jc w:val="left"/>
              <w:rPr>
                <w:rFonts w:eastAsia="仿宋_GB2312"/>
                <w:color w:val="000000"/>
                <w:kern w:val="0"/>
                <w:szCs w:val="21"/>
              </w:rPr>
            </w:pPr>
            <w:r>
              <w:rPr>
                <w:rFonts w:hint="eastAsia" w:eastAsia="仿宋_GB2312"/>
                <w:color w:val="000000"/>
                <w:kern w:val="0"/>
                <w:szCs w:val="21"/>
              </w:rPr>
              <w:t>在规定期限内公开</w:t>
            </w:r>
          </w:p>
        </w:tc>
        <w:tc>
          <w:tcPr>
            <w:tcW w:w="1276" w:type="dxa"/>
            <w:tcBorders>
              <w:top w:val="nil"/>
              <w:left w:val="nil"/>
              <w:bottom w:val="single" w:color="auto" w:sz="4" w:space="0"/>
              <w:right w:val="single" w:color="auto" w:sz="4" w:space="0"/>
            </w:tcBorders>
            <w:vAlign w:val="center"/>
          </w:tcPr>
          <w:p w14:paraId="722FACB5">
            <w:pPr>
              <w:widowControl/>
              <w:spacing w:line="240" w:lineRule="exact"/>
              <w:jc w:val="center"/>
              <w:rPr>
                <w:rFonts w:eastAsia="仿宋_GB2312"/>
                <w:color w:val="000000"/>
                <w:kern w:val="0"/>
                <w:szCs w:val="21"/>
              </w:rPr>
            </w:pPr>
            <w:r>
              <w:rPr>
                <w:rFonts w:hint="eastAsia" w:eastAsia="仿宋_GB2312"/>
                <w:color w:val="000000"/>
                <w:kern w:val="0"/>
                <w:szCs w:val="21"/>
              </w:rPr>
              <w:t>100%</w:t>
            </w:r>
          </w:p>
        </w:tc>
        <w:tc>
          <w:tcPr>
            <w:tcW w:w="709" w:type="dxa"/>
            <w:tcBorders>
              <w:top w:val="nil"/>
              <w:left w:val="nil"/>
              <w:bottom w:val="single" w:color="auto" w:sz="4" w:space="0"/>
              <w:right w:val="single" w:color="auto" w:sz="4" w:space="0"/>
            </w:tcBorders>
            <w:vAlign w:val="center"/>
          </w:tcPr>
          <w:p w14:paraId="422B6994">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992" w:type="dxa"/>
            <w:tcBorders>
              <w:top w:val="nil"/>
              <w:left w:val="nil"/>
              <w:bottom w:val="single" w:color="auto" w:sz="4" w:space="0"/>
              <w:right w:val="single" w:color="auto" w:sz="4" w:space="0"/>
            </w:tcBorders>
            <w:vAlign w:val="center"/>
          </w:tcPr>
          <w:p w14:paraId="6CBD68BA">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1352" w:type="dxa"/>
            <w:tcBorders>
              <w:top w:val="nil"/>
              <w:left w:val="nil"/>
              <w:bottom w:val="single" w:color="auto" w:sz="4" w:space="0"/>
              <w:right w:val="single" w:color="auto" w:sz="4" w:space="0"/>
            </w:tcBorders>
            <w:vAlign w:val="center"/>
          </w:tcPr>
          <w:p w14:paraId="4F28C71B">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14:paraId="054F3D8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4E87ECA1">
            <w:pPr>
              <w:spacing w:line="240" w:lineRule="exact"/>
              <w:jc w:val="left"/>
              <w:rPr>
                <w:rFonts w:eastAsia="仿宋_GB2312"/>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37FD344">
            <w:pPr>
              <w:spacing w:line="240" w:lineRule="exact"/>
              <w:jc w:val="left"/>
              <w:rPr>
                <w:rFonts w:eastAsia="仿宋_GB2312"/>
                <w:color w:val="000000"/>
                <w:kern w:val="0"/>
                <w:szCs w:val="21"/>
              </w:rPr>
            </w:pPr>
          </w:p>
        </w:tc>
        <w:tc>
          <w:tcPr>
            <w:tcW w:w="953" w:type="dxa"/>
            <w:vMerge w:val="restart"/>
            <w:tcBorders>
              <w:top w:val="single" w:color="auto" w:sz="4" w:space="0"/>
              <w:left w:val="single" w:color="auto" w:sz="4" w:space="0"/>
              <w:bottom w:val="single" w:color="auto" w:sz="4" w:space="0"/>
              <w:right w:val="single" w:color="auto" w:sz="4" w:space="0"/>
            </w:tcBorders>
            <w:vAlign w:val="center"/>
          </w:tcPr>
          <w:p w14:paraId="06F6CE0F">
            <w:pPr>
              <w:widowControl/>
              <w:spacing w:line="240" w:lineRule="exact"/>
              <w:jc w:val="center"/>
              <w:rPr>
                <w:rFonts w:eastAsia="仿宋_GB2312"/>
                <w:color w:val="000000"/>
                <w:kern w:val="0"/>
                <w:szCs w:val="21"/>
              </w:rPr>
            </w:pPr>
            <w:r>
              <w:rPr>
                <w:rFonts w:hint="eastAsia" w:eastAsia="仿宋_GB2312"/>
                <w:color w:val="000000"/>
                <w:kern w:val="0"/>
                <w:szCs w:val="21"/>
              </w:rPr>
              <w:t>成本指标</w:t>
            </w:r>
          </w:p>
        </w:tc>
        <w:tc>
          <w:tcPr>
            <w:tcW w:w="1351" w:type="dxa"/>
            <w:gridSpan w:val="2"/>
            <w:tcBorders>
              <w:top w:val="nil"/>
              <w:left w:val="nil"/>
              <w:bottom w:val="single" w:color="auto" w:sz="4" w:space="0"/>
              <w:right w:val="single" w:color="auto" w:sz="4" w:space="0"/>
            </w:tcBorders>
            <w:vAlign w:val="center"/>
          </w:tcPr>
          <w:p w14:paraId="351F313A">
            <w:pPr>
              <w:widowControl/>
              <w:spacing w:line="240" w:lineRule="exact"/>
              <w:jc w:val="left"/>
              <w:rPr>
                <w:rFonts w:eastAsia="仿宋_GB2312"/>
                <w:color w:val="000000"/>
                <w:kern w:val="0"/>
                <w:szCs w:val="21"/>
              </w:rPr>
            </w:pPr>
            <w:r>
              <w:rPr>
                <w:rFonts w:hint="eastAsia" w:eastAsia="仿宋_GB2312"/>
                <w:color w:val="000000"/>
                <w:kern w:val="0"/>
                <w:szCs w:val="21"/>
              </w:rPr>
              <w:t>三公经费控制率</w:t>
            </w:r>
          </w:p>
        </w:tc>
        <w:tc>
          <w:tcPr>
            <w:tcW w:w="1200" w:type="dxa"/>
            <w:tcBorders>
              <w:top w:val="nil"/>
              <w:left w:val="nil"/>
              <w:bottom w:val="single" w:color="auto" w:sz="4" w:space="0"/>
              <w:right w:val="single" w:color="auto" w:sz="4" w:space="0"/>
            </w:tcBorders>
            <w:vAlign w:val="center"/>
          </w:tcPr>
          <w:p w14:paraId="474B434B">
            <w:pPr>
              <w:widowControl/>
              <w:spacing w:line="240" w:lineRule="exact"/>
              <w:jc w:val="left"/>
              <w:rPr>
                <w:rFonts w:eastAsia="仿宋_GB2312"/>
                <w:color w:val="000000"/>
                <w:kern w:val="0"/>
                <w:szCs w:val="21"/>
              </w:rPr>
            </w:pPr>
            <w:r>
              <w:rPr>
                <w:rFonts w:hint="eastAsia" w:eastAsia="仿宋_GB2312"/>
                <w:color w:val="000000"/>
                <w:kern w:val="0"/>
                <w:szCs w:val="21"/>
              </w:rPr>
              <w:t>零增长</w:t>
            </w:r>
          </w:p>
        </w:tc>
        <w:tc>
          <w:tcPr>
            <w:tcW w:w="1276" w:type="dxa"/>
            <w:tcBorders>
              <w:top w:val="nil"/>
              <w:left w:val="nil"/>
              <w:bottom w:val="single" w:color="auto" w:sz="4" w:space="0"/>
              <w:right w:val="single" w:color="auto" w:sz="4" w:space="0"/>
            </w:tcBorders>
            <w:vAlign w:val="center"/>
          </w:tcPr>
          <w:p w14:paraId="21E61F74">
            <w:pPr>
              <w:widowControl/>
              <w:spacing w:line="240" w:lineRule="exact"/>
              <w:jc w:val="center"/>
              <w:rPr>
                <w:rFonts w:eastAsia="仿宋_GB2312"/>
                <w:color w:val="000000"/>
                <w:kern w:val="0"/>
                <w:szCs w:val="21"/>
              </w:rPr>
            </w:pPr>
            <w:r>
              <w:rPr>
                <w:rFonts w:hint="eastAsia" w:eastAsia="仿宋_GB2312"/>
                <w:color w:val="000000"/>
                <w:kern w:val="0"/>
                <w:szCs w:val="21"/>
              </w:rPr>
              <w:t>100%</w:t>
            </w:r>
          </w:p>
        </w:tc>
        <w:tc>
          <w:tcPr>
            <w:tcW w:w="709" w:type="dxa"/>
            <w:tcBorders>
              <w:top w:val="nil"/>
              <w:left w:val="nil"/>
              <w:bottom w:val="single" w:color="auto" w:sz="4" w:space="0"/>
              <w:right w:val="single" w:color="auto" w:sz="4" w:space="0"/>
            </w:tcBorders>
            <w:vAlign w:val="center"/>
          </w:tcPr>
          <w:p w14:paraId="322741B6">
            <w:pPr>
              <w:widowControl/>
              <w:spacing w:line="240" w:lineRule="exact"/>
              <w:jc w:val="center"/>
              <w:rPr>
                <w:rFonts w:eastAsia="仿宋_GB2312"/>
                <w:color w:val="000000"/>
                <w:kern w:val="0"/>
                <w:szCs w:val="21"/>
              </w:rPr>
            </w:pPr>
            <w:r>
              <w:rPr>
                <w:rFonts w:hint="eastAsia" w:eastAsia="仿宋_GB2312"/>
                <w:color w:val="000000"/>
                <w:kern w:val="0"/>
                <w:szCs w:val="21"/>
              </w:rPr>
              <w:t>2</w:t>
            </w:r>
          </w:p>
        </w:tc>
        <w:tc>
          <w:tcPr>
            <w:tcW w:w="992" w:type="dxa"/>
            <w:tcBorders>
              <w:top w:val="nil"/>
              <w:left w:val="nil"/>
              <w:bottom w:val="single" w:color="auto" w:sz="4" w:space="0"/>
              <w:right w:val="single" w:color="auto" w:sz="4" w:space="0"/>
            </w:tcBorders>
            <w:vAlign w:val="center"/>
          </w:tcPr>
          <w:p w14:paraId="28932D64">
            <w:pPr>
              <w:widowControl/>
              <w:spacing w:line="240" w:lineRule="exact"/>
              <w:jc w:val="center"/>
              <w:rPr>
                <w:rFonts w:eastAsia="仿宋_GB2312"/>
                <w:color w:val="000000"/>
                <w:kern w:val="0"/>
                <w:szCs w:val="21"/>
              </w:rPr>
            </w:pPr>
            <w:r>
              <w:rPr>
                <w:rFonts w:hint="eastAsia" w:eastAsia="仿宋_GB2312"/>
                <w:color w:val="000000"/>
                <w:kern w:val="0"/>
                <w:szCs w:val="21"/>
              </w:rPr>
              <w:t>2</w:t>
            </w:r>
          </w:p>
        </w:tc>
        <w:tc>
          <w:tcPr>
            <w:tcW w:w="1352" w:type="dxa"/>
            <w:tcBorders>
              <w:top w:val="nil"/>
              <w:left w:val="nil"/>
              <w:bottom w:val="single" w:color="auto" w:sz="4" w:space="0"/>
              <w:right w:val="single" w:color="auto" w:sz="4" w:space="0"/>
            </w:tcBorders>
            <w:vAlign w:val="center"/>
          </w:tcPr>
          <w:p w14:paraId="3610C671">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14:paraId="2A15668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70AB05F5">
            <w:pPr>
              <w:spacing w:line="240" w:lineRule="exact"/>
              <w:jc w:val="left"/>
              <w:rPr>
                <w:rFonts w:eastAsia="仿宋_GB2312"/>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E551F74">
            <w:pPr>
              <w:spacing w:line="240" w:lineRule="exact"/>
              <w:jc w:val="left"/>
              <w:rPr>
                <w:rFonts w:eastAsia="仿宋_GB2312"/>
                <w:color w:val="000000"/>
                <w:kern w:val="0"/>
                <w:szCs w:val="21"/>
              </w:rPr>
            </w:pPr>
          </w:p>
        </w:tc>
        <w:tc>
          <w:tcPr>
            <w:tcW w:w="953" w:type="dxa"/>
            <w:vMerge w:val="continue"/>
            <w:tcBorders>
              <w:top w:val="single" w:color="auto" w:sz="4" w:space="0"/>
              <w:left w:val="single" w:color="auto" w:sz="4" w:space="0"/>
              <w:bottom w:val="single" w:color="auto" w:sz="4" w:space="0"/>
              <w:right w:val="single" w:color="auto" w:sz="4" w:space="0"/>
            </w:tcBorders>
            <w:vAlign w:val="center"/>
          </w:tcPr>
          <w:p w14:paraId="1D32BE27">
            <w:pPr>
              <w:spacing w:line="240" w:lineRule="exact"/>
              <w:jc w:val="left"/>
              <w:rPr>
                <w:rFonts w:eastAsia="仿宋_GB2312"/>
                <w:color w:val="000000"/>
                <w:kern w:val="0"/>
                <w:szCs w:val="21"/>
              </w:rPr>
            </w:pPr>
          </w:p>
        </w:tc>
        <w:tc>
          <w:tcPr>
            <w:tcW w:w="1351" w:type="dxa"/>
            <w:gridSpan w:val="2"/>
            <w:tcBorders>
              <w:top w:val="nil"/>
              <w:left w:val="nil"/>
              <w:bottom w:val="single" w:color="auto" w:sz="4" w:space="0"/>
              <w:right w:val="single" w:color="auto" w:sz="4" w:space="0"/>
            </w:tcBorders>
            <w:vAlign w:val="center"/>
          </w:tcPr>
          <w:p w14:paraId="57210303">
            <w:pPr>
              <w:widowControl/>
              <w:spacing w:line="240" w:lineRule="exact"/>
              <w:jc w:val="left"/>
              <w:rPr>
                <w:rFonts w:eastAsia="仿宋_GB2312"/>
                <w:color w:val="000000"/>
                <w:kern w:val="0"/>
                <w:szCs w:val="21"/>
              </w:rPr>
            </w:pPr>
            <w:r>
              <w:rPr>
                <w:rFonts w:hint="eastAsia" w:eastAsia="仿宋_GB2312"/>
                <w:color w:val="000000"/>
                <w:kern w:val="0"/>
                <w:szCs w:val="21"/>
              </w:rPr>
              <w:t>一般公用经费压缩率</w:t>
            </w:r>
          </w:p>
        </w:tc>
        <w:tc>
          <w:tcPr>
            <w:tcW w:w="1200" w:type="dxa"/>
            <w:tcBorders>
              <w:top w:val="nil"/>
              <w:left w:val="nil"/>
              <w:bottom w:val="single" w:color="auto" w:sz="4" w:space="0"/>
              <w:right w:val="single" w:color="auto" w:sz="4" w:space="0"/>
            </w:tcBorders>
            <w:vAlign w:val="center"/>
          </w:tcPr>
          <w:p w14:paraId="5B5E952E">
            <w:pPr>
              <w:widowControl/>
              <w:spacing w:line="240" w:lineRule="exact"/>
              <w:jc w:val="left"/>
              <w:rPr>
                <w:rFonts w:eastAsia="仿宋_GB2312"/>
                <w:color w:val="000000"/>
                <w:kern w:val="0"/>
                <w:szCs w:val="21"/>
              </w:rPr>
            </w:pPr>
            <w:r>
              <w:rPr>
                <w:rFonts w:hint="eastAsia" w:eastAsia="仿宋_GB2312"/>
                <w:color w:val="000000"/>
                <w:kern w:val="0"/>
                <w:szCs w:val="21"/>
              </w:rPr>
              <w:t>较年初预算压减10%</w:t>
            </w:r>
          </w:p>
        </w:tc>
        <w:tc>
          <w:tcPr>
            <w:tcW w:w="1276" w:type="dxa"/>
            <w:tcBorders>
              <w:top w:val="nil"/>
              <w:left w:val="nil"/>
              <w:bottom w:val="single" w:color="auto" w:sz="4" w:space="0"/>
              <w:right w:val="single" w:color="auto" w:sz="4" w:space="0"/>
            </w:tcBorders>
            <w:vAlign w:val="center"/>
          </w:tcPr>
          <w:p w14:paraId="691165E3">
            <w:pPr>
              <w:widowControl/>
              <w:spacing w:line="240" w:lineRule="exact"/>
              <w:jc w:val="center"/>
              <w:rPr>
                <w:rFonts w:eastAsia="仿宋_GB2312"/>
                <w:color w:val="000000"/>
                <w:kern w:val="0"/>
                <w:szCs w:val="21"/>
              </w:rPr>
            </w:pPr>
            <w:r>
              <w:rPr>
                <w:rFonts w:hint="eastAsia" w:eastAsia="仿宋_GB2312"/>
                <w:color w:val="000000"/>
                <w:kern w:val="0"/>
                <w:szCs w:val="21"/>
              </w:rPr>
              <w:t>100%</w:t>
            </w:r>
          </w:p>
        </w:tc>
        <w:tc>
          <w:tcPr>
            <w:tcW w:w="709" w:type="dxa"/>
            <w:tcBorders>
              <w:top w:val="nil"/>
              <w:left w:val="nil"/>
              <w:bottom w:val="single" w:color="auto" w:sz="4" w:space="0"/>
              <w:right w:val="single" w:color="auto" w:sz="4" w:space="0"/>
            </w:tcBorders>
            <w:vAlign w:val="center"/>
          </w:tcPr>
          <w:p w14:paraId="74A8989E">
            <w:pPr>
              <w:widowControl/>
              <w:spacing w:line="240" w:lineRule="exact"/>
              <w:jc w:val="center"/>
              <w:rPr>
                <w:rFonts w:eastAsia="仿宋_GB2312"/>
                <w:color w:val="000000"/>
                <w:kern w:val="0"/>
                <w:szCs w:val="21"/>
              </w:rPr>
            </w:pPr>
            <w:r>
              <w:rPr>
                <w:rFonts w:hint="eastAsia" w:eastAsia="仿宋_GB2312"/>
                <w:color w:val="000000"/>
                <w:kern w:val="0"/>
                <w:szCs w:val="21"/>
              </w:rPr>
              <w:t>3</w:t>
            </w:r>
          </w:p>
        </w:tc>
        <w:tc>
          <w:tcPr>
            <w:tcW w:w="992" w:type="dxa"/>
            <w:tcBorders>
              <w:top w:val="nil"/>
              <w:left w:val="nil"/>
              <w:bottom w:val="single" w:color="auto" w:sz="4" w:space="0"/>
              <w:right w:val="single" w:color="auto" w:sz="4" w:space="0"/>
            </w:tcBorders>
            <w:vAlign w:val="center"/>
          </w:tcPr>
          <w:p w14:paraId="08DF5B72">
            <w:pPr>
              <w:widowControl/>
              <w:spacing w:line="240" w:lineRule="exact"/>
              <w:jc w:val="center"/>
              <w:rPr>
                <w:rFonts w:eastAsia="仿宋_GB2312"/>
                <w:color w:val="000000"/>
                <w:kern w:val="0"/>
                <w:szCs w:val="21"/>
              </w:rPr>
            </w:pPr>
            <w:r>
              <w:rPr>
                <w:rFonts w:hint="eastAsia" w:eastAsia="仿宋_GB2312"/>
                <w:color w:val="000000"/>
                <w:kern w:val="0"/>
                <w:szCs w:val="21"/>
              </w:rPr>
              <w:t>3</w:t>
            </w:r>
          </w:p>
        </w:tc>
        <w:tc>
          <w:tcPr>
            <w:tcW w:w="1352" w:type="dxa"/>
            <w:tcBorders>
              <w:top w:val="nil"/>
              <w:left w:val="nil"/>
              <w:bottom w:val="single" w:color="auto" w:sz="4" w:space="0"/>
              <w:right w:val="single" w:color="auto" w:sz="4" w:space="0"/>
            </w:tcBorders>
            <w:vAlign w:val="center"/>
          </w:tcPr>
          <w:p w14:paraId="343EEF58">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14:paraId="6C984B3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665F95F8">
            <w:pPr>
              <w:spacing w:line="240" w:lineRule="exact"/>
              <w:jc w:val="left"/>
              <w:rPr>
                <w:rFonts w:eastAsia="仿宋_GB2312"/>
                <w:color w:val="000000"/>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388A0E1">
            <w:pPr>
              <w:widowControl/>
              <w:spacing w:line="240" w:lineRule="exact"/>
              <w:jc w:val="left"/>
              <w:rPr>
                <w:rFonts w:eastAsia="仿宋_GB2312"/>
                <w:color w:val="000000"/>
                <w:kern w:val="0"/>
                <w:szCs w:val="21"/>
              </w:rPr>
            </w:pPr>
            <w:r>
              <w:rPr>
                <w:rFonts w:hint="eastAsia" w:eastAsia="仿宋_GB2312"/>
                <w:color w:val="000000"/>
                <w:kern w:val="0"/>
                <w:szCs w:val="21"/>
              </w:rPr>
              <w:t>效益指标</w:t>
            </w:r>
          </w:p>
          <w:p w14:paraId="4D112A2E">
            <w:pPr>
              <w:widowControl/>
              <w:spacing w:line="240" w:lineRule="exact"/>
              <w:jc w:val="left"/>
              <w:rPr>
                <w:rFonts w:eastAsia="仿宋_GB2312"/>
                <w:color w:val="000000"/>
                <w:kern w:val="0"/>
                <w:szCs w:val="21"/>
              </w:rPr>
            </w:pPr>
          </w:p>
          <w:p w14:paraId="5BEFB80F">
            <w:pPr>
              <w:widowControl/>
              <w:spacing w:line="240" w:lineRule="exact"/>
              <w:jc w:val="left"/>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30</w:t>
            </w:r>
            <w:r>
              <w:rPr>
                <w:rFonts w:hint="eastAsia" w:eastAsia="仿宋_GB2312"/>
                <w:color w:val="000000"/>
                <w:kern w:val="0"/>
                <w:szCs w:val="21"/>
              </w:rPr>
              <w:t>分）</w:t>
            </w:r>
          </w:p>
        </w:tc>
        <w:tc>
          <w:tcPr>
            <w:tcW w:w="953" w:type="dxa"/>
            <w:tcBorders>
              <w:top w:val="single" w:color="auto" w:sz="4" w:space="0"/>
              <w:left w:val="single" w:color="auto" w:sz="4" w:space="0"/>
              <w:bottom w:val="single" w:color="auto" w:sz="4" w:space="0"/>
              <w:right w:val="single" w:color="auto" w:sz="4" w:space="0"/>
            </w:tcBorders>
            <w:vAlign w:val="center"/>
          </w:tcPr>
          <w:p w14:paraId="74D21DCE">
            <w:pPr>
              <w:widowControl/>
              <w:spacing w:line="240" w:lineRule="exact"/>
              <w:jc w:val="center"/>
              <w:rPr>
                <w:rFonts w:eastAsia="仿宋_GB2312"/>
                <w:color w:val="000000"/>
                <w:kern w:val="0"/>
                <w:szCs w:val="21"/>
              </w:rPr>
            </w:pPr>
            <w:r>
              <w:rPr>
                <w:rFonts w:hint="eastAsia" w:eastAsia="仿宋_GB2312"/>
                <w:color w:val="000000"/>
                <w:kern w:val="0"/>
                <w:szCs w:val="21"/>
              </w:rPr>
              <w:t>经济效</w:t>
            </w:r>
          </w:p>
          <w:p w14:paraId="777A319F">
            <w:pPr>
              <w:widowControl/>
              <w:spacing w:line="240" w:lineRule="exact"/>
              <w:jc w:val="center"/>
              <w:rPr>
                <w:rFonts w:eastAsia="仿宋_GB2312"/>
                <w:color w:val="000000"/>
                <w:kern w:val="0"/>
                <w:szCs w:val="21"/>
              </w:rPr>
            </w:pPr>
            <w:r>
              <w:rPr>
                <w:rFonts w:hint="eastAsia" w:eastAsia="仿宋_GB2312"/>
                <w:color w:val="000000"/>
                <w:kern w:val="0"/>
                <w:szCs w:val="21"/>
              </w:rPr>
              <w:t>益指标</w:t>
            </w:r>
          </w:p>
        </w:tc>
        <w:tc>
          <w:tcPr>
            <w:tcW w:w="1351" w:type="dxa"/>
            <w:gridSpan w:val="2"/>
            <w:tcBorders>
              <w:top w:val="nil"/>
              <w:left w:val="nil"/>
              <w:bottom w:val="single" w:color="auto" w:sz="4" w:space="0"/>
              <w:right w:val="single" w:color="auto" w:sz="4" w:space="0"/>
            </w:tcBorders>
            <w:vAlign w:val="center"/>
          </w:tcPr>
          <w:p w14:paraId="5814D37F">
            <w:pPr>
              <w:widowControl/>
              <w:spacing w:line="240" w:lineRule="exact"/>
              <w:jc w:val="left"/>
              <w:rPr>
                <w:rFonts w:eastAsia="仿宋_GB2312"/>
                <w:color w:val="000000"/>
                <w:kern w:val="0"/>
                <w:szCs w:val="21"/>
              </w:rPr>
            </w:pPr>
            <w:r>
              <w:rPr>
                <w:rFonts w:hint="eastAsia" w:eastAsia="仿宋_GB2312"/>
                <w:color w:val="000000"/>
                <w:kern w:val="0"/>
                <w:szCs w:val="21"/>
              </w:rPr>
              <w:t>地质主业</w:t>
            </w:r>
          </w:p>
        </w:tc>
        <w:tc>
          <w:tcPr>
            <w:tcW w:w="1200" w:type="dxa"/>
            <w:tcBorders>
              <w:top w:val="nil"/>
              <w:left w:val="nil"/>
              <w:bottom w:val="single" w:color="auto" w:sz="4" w:space="0"/>
              <w:right w:val="single" w:color="auto" w:sz="4" w:space="0"/>
            </w:tcBorders>
            <w:vAlign w:val="center"/>
          </w:tcPr>
          <w:p w14:paraId="256869E4">
            <w:pPr>
              <w:widowControl/>
              <w:spacing w:line="240" w:lineRule="exact"/>
              <w:jc w:val="left"/>
              <w:rPr>
                <w:rFonts w:eastAsia="仿宋_GB2312"/>
                <w:color w:val="000000"/>
                <w:kern w:val="0"/>
                <w:szCs w:val="21"/>
              </w:rPr>
            </w:pPr>
            <w:r>
              <w:rPr>
                <w:rFonts w:hint="eastAsia" w:eastAsia="仿宋_GB2312"/>
                <w:color w:val="000000"/>
                <w:kern w:val="0"/>
                <w:szCs w:val="21"/>
              </w:rPr>
              <w:t>发展态势良好　</w:t>
            </w:r>
          </w:p>
        </w:tc>
        <w:tc>
          <w:tcPr>
            <w:tcW w:w="1276" w:type="dxa"/>
            <w:tcBorders>
              <w:top w:val="nil"/>
              <w:left w:val="nil"/>
              <w:bottom w:val="single" w:color="auto" w:sz="4" w:space="0"/>
              <w:right w:val="single" w:color="auto" w:sz="4" w:space="0"/>
            </w:tcBorders>
            <w:vAlign w:val="center"/>
          </w:tcPr>
          <w:p w14:paraId="148612A5">
            <w:pPr>
              <w:widowControl/>
              <w:spacing w:line="240" w:lineRule="exact"/>
              <w:jc w:val="center"/>
              <w:rPr>
                <w:rFonts w:eastAsia="仿宋_GB2312"/>
                <w:color w:val="000000"/>
                <w:kern w:val="0"/>
                <w:szCs w:val="21"/>
              </w:rPr>
            </w:pPr>
            <w:r>
              <w:rPr>
                <w:rFonts w:hint="eastAsia" w:eastAsia="仿宋_GB2312"/>
                <w:color w:val="000000"/>
                <w:kern w:val="0"/>
                <w:szCs w:val="21"/>
              </w:rPr>
              <w:t>100%</w:t>
            </w:r>
          </w:p>
        </w:tc>
        <w:tc>
          <w:tcPr>
            <w:tcW w:w="709" w:type="dxa"/>
            <w:tcBorders>
              <w:top w:val="nil"/>
              <w:left w:val="nil"/>
              <w:bottom w:val="single" w:color="auto" w:sz="4" w:space="0"/>
              <w:right w:val="single" w:color="auto" w:sz="4" w:space="0"/>
            </w:tcBorders>
            <w:vAlign w:val="center"/>
          </w:tcPr>
          <w:p w14:paraId="0A0A9665">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992" w:type="dxa"/>
            <w:tcBorders>
              <w:top w:val="nil"/>
              <w:left w:val="nil"/>
              <w:bottom w:val="single" w:color="auto" w:sz="4" w:space="0"/>
              <w:right w:val="single" w:color="auto" w:sz="4" w:space="0"/>
            </w:tcBorders>
            <w:vAlign w:val="center"/>
          </w:tcPr>
          <w:p w14:paraId="3F3207FC">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1352" w:type="dxa"/>
            <w:tcBorders>
              <w:top w:val="nil"/>
              <w:left w:val="nil"/>
              <w:bottom w:val="single" w:color="auto" w:sz="4" w:space="0"/>
              <w:right w:val="single" w:color="auto" w:sz="4" w:space="0"/>
            </w:tcBorders>
            <w:vAlign w:val="center"/>
          </w:tcPr>
          <w:p w14:paraId="667520EC">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14:paraId="6A76013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0D3D6B4A">
            <w:pPr>
              <w:spacing w:line="240" w:lineRule="exact"/>
              <w:jc w:val="left"/>
              <w:rPr>
                <w:rFonts w:eastAsia="仿宋_GB2312"/>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EDE8674">
            <w:pPr>
              <w:spacing w:line="240" w:lineRule="exact"/>
              <w:jc w:val="left"/>
              <w:rPr>
                <w:rFonts w:eastAsia="仿宋_GB2312"/>
                <w:color w:val="000000"/>
                <w:kern w:val="0"/>
                <w:szCs w:val="21"/>
              </w:rPr>
            </w:pPr>
          </w:p>
        </w:tc>
        <w:tc>
          <w:tcPr>
            <w:tcW w:w="953" w:type="dxa"/>
            <w:tcBorders>
              <w:top w:val="single" w:color="auto" w:sz="4" w:space="0"/>
              <w:left w:val="single" w:color="auto" w:sz="4" w:space="0"/>
              <w:bottom w:val="single" w:color="auto" w:sz="4" w:space="0"/>
              <w:right w:val="single" w:color="auto" w:sz="4" w:space="0"/>
            </w:tcBorders>
            <w:vAlign w:val="center"/>
          </w:tcPr>
          <w:p w14:paraId="01DE5D1C">
            <w:pPr>
              <w:widowControl/>
              <w:spacing w:line="240" w:lineRule="exact"/>
              <w:jc w:val="center"/>
              <w:rPr>
                <w:rFonts w:eastAsia="仿宋_GB2312"/>
                <w:color w:val="000000"/>
                <w:kern w:val="0"/>
                <w:szCs w:val="21"/>
              </w:rPr>
            </w:pPr>
            <w:r>
              <w:rPr>
                <w:rFonts w:hint="eastAsia" w:eastAsia="仿宋_GB2312"/>
                <w:color w:val="000000"/>
                <w:kern w:val="0"/>
                <w:szCs w:val="21"/>
              </w:rPr>
              <w:t>社会效</w:t>
            </w:r>
          </w:p>
          <w:p w14:paraId="599EE1DB">
            <w:pPr>
              <w:widowControl/>
              <w:spacing w:line="240" w:lineRule="exact"/>
              <w:jc w:val="center"/>
              <w:rPr>
                <w:rFonts w:eastAsia="仿宋_GB2312"/>
                <w:color w:val="000000"/>
                <w:kern w:val="0"/>
                <w:szCs w:val="21"/>
              </w:rPr>
            </w:pPr>
            <w:r>
              <w:rPr>
                <w:rFonts w:hint="eastAsia" w:eastAsia="仿宋_GB2312"/>
                <w:color w:val="000000"/>
                <w:kern w:val="0"/>
                <w:szCs w:val="21"/>
              </w:rPr>
              <w:t>益指标</w:t>
            </w:r>
          </w:p>
        </w:tc>
        <w:tc>
          <w:tcPr>
            <w:tcW w:w="1351" w:type="dxa"/>
            <w:gridSpan w:val="2"/>
            <w:tcBorders>
              <w:top w:val="nil"/>
              <w:left w:val="nil"/>
              <w:bottom w:val="single" w:color="auto" w:sz="4" w:space="0"/>
              <w:right w:val="single" w:color="auto" w:sz="4" w:space="0"/>
            </w:tcBorders>
            <w:vAlign w:val="center"/>
          </w:tcPr>
          <w:p w14:paraId="58656245">
            <w:pPr>
              <w:widowControl/>
              <w:spacing w:line="240" w:lineRule="exact"/>
              <w:jc w:val="left"/>
              <w:rPr>
                <w:rFonts w:eastAsia="仿宋_GB2312"/>
                <w:color w:val="000000"/>
                <w:kern w:val="0"/>
                <w:szCs w:val="21"/>
              </w:rPr>
            </w:pPr>
            <w:r>
              <w:rPr>
                <w:rFonts w:hint="eastAsia" w:eastAsia="仿宋_GB2312"/>
                <w:color w:val="000000"/>
                <w:kern w:val="0"/>
                <w:szCs w:val="21"/>
              </w:rPr>
              <w:t>确保民生</w:t>
            </w:r>
          </w:p>
        </w:tc>
        <w:tc>
          <w:tcPr>
            <w:tcW w:w="1200" w:type="dxa"/>
            <w:tcBorders>
              <w:top w:val="nil"/>
              <w:left w:val="nil"/>
              <w:bottom w:val="single" w:color="auto" w:sz="4" w:space="0"/>
              <w:right w:val="single" w:color="auto" w:sz="4" w:space="0"/>
            </w:tcBorders>
            <w:vAlign w:val="center"/>
          </w:tcPr>
          <w:p w14:paraId="0DF225E8">
            <w:pPr>
              <w:widowControl/>
              <w:spacing w:line="240" w:lineRule="exact"/>
              <w:jc w:val="left"/>
              <w:rPr>
                <w:rFonts w:eastAsia="仿宋_GB2312"/>
                <w:color w:val="000000"/>
                <w:kern w:val="0"/>
                <w:szCs w:val="21"/>
              </w:rPr>
            </w:pPr>
            <w:r>
              <w:rPr>
                <w:rFonts w:hint="eastAsia" w:eastAsia="仿宋_GB2312"/>
                <w:color w:val="000000"/>
                <w:kern w:val="0"/>
                <w:szCs w:val="21"/>
              </w:rPr>
              <w:t>保持队伍稳定</w:t>
            </w:r>
          </w:p>
        </w:tc>
        <w:tc>
          <w:tcPr>
            <w:tcW w:w="1276" w:type="dxa"/>
            <w:tcBorders>
              <w:top w:val="nil"/>
              <w:left w:val="nil"/>
              <w:bottom w:val="single" w:color="auto" w:sz="4" w:space="0"/>
              <w:right w:val="single" w:color="auto" w:sz="4" w:space="0"/>
            </w:tcBorders>
            <w:vAlign w:val="center"/>
          </w:tcPr>
          <w:p w14:paraId="23B62E2C">
            <w:pPr>
              <w:widowControl/>
              <w:spacing w:line="240" w:lineRule="exact"/>
              <w:jc w:val="center"/>
              <w:rPr>
                <w:rFonts w:eastAsia="仿宋_GB2312"/>
                <w:color w:val="000000"/>
                <w:kern w:val="0"/>
                <w:szCs w:val="21"/>
              </w:rPr>
            </w:pPr>
            <w:r>
              <w:rPr>
                <w:rFonts w:hint="eastAsia" w:eastAsia="仿宋_GB2312"/>
                <w:color w:val="000000"/>
                <w:kern w:val="0"/>
                <w:szCs w:val="21"/>
              </w:rPr>
              <w:t>100%</w:t>
            </w:r>
          </w:p>
        </w:tc>
        <w:tc>
          <w:tcPr>
            <w:tcW w:w="709" w:type="dxa"/>
            <w:tcBorders>
              <w:top w:val="nil"/>
              <w:left w:val="nil"/>
              <w:bottom w:val="single" w:color="auto" w:sz="4" w:space="0"/>
              <w:right w:val="single" w:color="auto" w:sz="4" w:space="0"/>
            </w:tcBorders>
            <w:vAlign w:val="center"/>
          </w:tcPr>
          <w:p w14:paraId="2FB1A99C">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992" w:type="dxa"/>
            <w:tcBorders>
              <w:top w:val="nil"/>
              <w:left w:val="nil"/>
              <w:bottom w:val="single" w:color="auto" w:sz="4" w:space="0"/>
              <w:right w:val="single" w:color="auto" w:sz="4" w:space="0"/>
            </w:tcBorders>
            <w:vAlign w:val="center"/>
          </w:tcPr>
          <w:p w14:paraId="2BE71F32">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1352" w:type="dxa"/>
            <w:tcBorders>
              <w:top w:val="nil"/>
              <w:left w:val="nil"/>
              <w:bottom w:val="single" w:color="auto" w:sz="4" w:space="0"/>
              <w:right w:val="single" w:color="auto" w:sz="4" w:space="0"/>
            </w:tcBorders>
            <w:vAlign w:val="center"/>
          </w:tcPr>
          <w:p w14:paraId="1A19BBAA">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14:paraId="00AE5E5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59C549BF">
            <w:pPr>
              <w:spacing w:line="240" w:lineRule="exact"/>
              <w:jc w:val="left"/>
              <w:rPr>
                <w:rFonts w:eastAsia="仿宋_GB2312"/>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2804DDB">
            <w:pPr>
              <w:spacing w:line="240" w:lineRule="exact"/>
              <w:jc w:val="left"/>
              <w:rPr>
                <w:rFonts w:eastAsia="仿宋_GB2312"/>
                <w:color w:val="000000"/>
                <w:kern w:val="0"/>
                <w:szCs w:val="21"/>
              </w:rPr>
            </w:pPr>
          </w:p>
        </w:tc>
        <w:tc>
          <w:tcPr>
            <w:tcW w:w="953" w:type="dxa"/>
            <w:tcBorders>
              <w:top w:val="single" w:color="auto" w:sz="4" w:space="0"/>
              <w:left w:val="single" w:color="auto" w:sz="4" w:space="0"/>
              <w:bottom w:val="single" w:color="auto" w:sz="4" w:space="0"/>
              <w:right w:val="single" w:color="auto" w:sz="4" w:space="0"/>
            </w:tcBorders>
            <w:vAlign w:val="center"/>
          </w:tcPr>
          <w:p w14:paraId="5A28F9ED">
            <w:pPr>
              <w:widowControl/>
              <w:spacing w:line="240" w:lineRule="exact"/>
              <w:jc w:val="center"/>
              <w:rPr>
                <w:rFonts w:eastAsia="仿宋_GB2312"/>
                <w:color w:val="000000"/>
                <w:kern w:val="0"/>
                <w:szCs w:val="21"/>
              </w:rPr>
            </w:pPr>
            <w:r>
              <w:rPr>
                <w:rFonts w:hint="eastAsia" w:eastAsia="仿宋_GB2312"/>
                <w:color w:val="000000"/>
                <w:kern w:val="0"/>
                <w:szCs w:val="21"/>
              </w:rPr>
              <w:t>生态效</w:t>
            </w:r>
          </w:p>
          <w:p w14:paraId="45B73177">
            <w:pPr>
              <w:widowControl/>
              <w:spacing w:line="240" w:lineRule="exact"/>
              <w:jc w:val="center"/>
              <w:rPr>
                <w:rFonts w:eastAsia="仿宋_GB2312"/>
                <w:color w:val="000000"/>
                <w:kern w:val="0"/>
                <w:szCs w:val="21"/>
              </w:rPr>
            </w:pPr>
            <w:r>
              <w:rPr>
                <w:rFonts w:hint="eastAsia" w:eastAsia="仿宋_GB2312"/>
                <w:color w:val="000000"/>
                <w:kern w:val="0"/>
                <w:szCs w:val="21"/>
              </w:rPr>
              <w:t>益指标</w:t>
            </w:r>
          </w:p>
        </w:tc>
        <w:tc>
          <w:tcPr>
            <w:tcW w:w="1351" w:type="dxa"/>
            <w:gridSpan w:val="2"/>
            <w:tcBorders>
              <w:top w:val="nil"/>
              <w:left w:val="nil"/>
              <w:bottom w:val="single" w:color="auto" w:sz="4" w:space="0"/>
              <w:right w:val="single" w:color="auto" w:sz="4" w:space="0"/>
            </w:tcBorders>
            <w:vAlign w:val="center"/>
          </w:tcPr>
          <w:p w14:paraId="4C5D1F59">
            <w:pPr>
              <w:widowControl/>
              <w:spacing w:line="240" w:lineRule="exact"/>
              <w:jc w:val="left"/>
              <w:rPr>
                <w:rFonts w:eastAsia="仿宋_GB2312"/>
                <w:color w:val="000000"/>
                <w:kern w:val="0"/>
                <w:szCs w:val="21"/>
              </w:rPr>
            </w:pPr>
            <w:r>
              <w:rPr>
                <w:rFonts w:hint="eastAsia" w:eastAsia="仿宋_GB2312"/>
                <w:color w:val="000000"/>
                <w:kern w:val="0"/>
                <w:szCs w:val="21"/>
              </w:rPr>
              <w:t>环境保护</w:t>
            </w:r>
          </w:p>
        </w:tc>
        <w:tc>
          <w:tcPr>
            <w:tcW w:w="1200" w:type="dxa"/>
            <w:tcBorders>
              <w:top w:val="nil"/>
              <w:left w:val="nil"/>
              <w:bottom w:val="single" w:color="auto" w:sz="4" w:space="0"/>
              <w:right w:val="single" w:color="auto" w:sz="4" w:space="0"/>
            </w:tcBorders>
            <w:vAlign w:val="center"/>
          </w:tcPr>
          <w:p w14:paraId="570AD100">
            <w:pPr>
              <w:widowControl/>
              <w:spacing w:line="240" w:lineRule="exact"/>
              <w:jc w:val="left"/>
              <w:rPr>
                <w:rFonts w:eastAsia="仿宋_GB2312"/>
                <w:color w:val="000000"/>
                <w:kern w:val="0"/>
                <w:szCs w:val="21"/>
              </w:rPr>
            </w:pPr>
            <w:r>
              <w:rPr>
                <w:rFonts w:hint="eastAsia" w:eastAsia="仿宋_GB2312"/>
                <w:color w:val="000000"/>
                <w:kern w:val="0"/>
                <w:szCs w:val="21"/>
              </w:rPr>
              <w:t>效果很好</w:t>
            </w:r>
          </w:p>
        </w:tc>
        <w:tc>
          <w:tcPr>
            <w:tcW w:w="1276" w:type="dxa"/>
            <w:tcBorders>
              <w:top w:val="nil"/>
              <w:left w:val="nil"/>
              <w:bottom w:val="single" w:color="auto" w:sz="4" w:space="0"/>
              <w:right w:val="single" w:color="auto" w:sz="4" w:space="0"/>
            </w:tcBorders>
            <w:vAlign w:val="center"/>
          </w:tcPr>
          <w:p w14:paraId="3DEC7FEC">
            <w:pPr>
              <w:widowControl/>
              <w:spacing w:line="240" w:lineRule="exact"/>
              <w:jc w:val="center"/>
              <w:rPr>
                <w:rFonts w:eastAsia="仿宋_GB2312"/>
                <w:color w:val="000000"/>
                <w:kern w:val="0"/>
                <w:szCs w:val="21"/>
              </w:rPr>
            </w:pPr>
            <w:r>
              <w:rPr>
                <w:rFonts w:hint="eastAsia" w:eastAsia="仿宋_GB2312"/>
                <w:color w:val="000000"/>
                <w:kern w:val="0"/>
                <w:szCs w:val="21"/>
              </w:rPr>
              <w:t>100%</w:t>
            </w:r>
          </w:p>
        </w:tc>
        <w:tc>
          <w:tcPr>
            <w:tcW w:w="709" w:type="dxa"/>
            <w:tcBorders>
              <w:top w:val="nil"/>
              <w:left w:val="nil"/>
              <w:bottom w:val="single" w:color="auto" w:sz="4" w:space="0"/>
              <w:right w:val="single" w:color="auto" w:sz="4" w:space="0"/>
            </w:tcBorders>
            <w:vAlign w:val="center"/>
          </w:tcPr>
          <w:p w14:paraId="3325F01B">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992" w:type="dxa"/>
            <w:tcBorders>
              <w:top w:val="nil"/>
              <w:left w:val="nil"/>
              <w:bottom w:val="single" w:color="auto" w:sz="4" w:space="0"/>
              <w:right w:val="single" w:color="auto" w:sz="4" w:space="0"/>
            </w:tcBorders>
            <w:vAlign w:val="center"/>
          </w:tcPr>
          <w:p w14:paraId="3D1048A7">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1352" w:type="dxa"/>
            <w:tcBorders>
              <w:top w:val="nil"/>
              <w:left w:val="nil"/>
              <w:bottom w:val="single" w:color="auto" w:sz="4" w:space="0"/>
              <w:right w:val="single" w:color="auto" w:sz="4" w:space="0"/>
            </w:tcBorders>
            <w:vAlign w:val="center"/>
          </w:tcPr>
          <w:p w14:paraId="7C4E8FFB">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14:paraId="07329399">
        <w:tblPrEx>
          <w:tblCellMar>
            <w:top w:w="0" w:type="dxa"/>
            <w:left w:w="108" w:type="dxa"/>
            <w:bottom w:w="0" w:type="dxa"/>
            <w:right w:w="108" w:type="dxa"/>
          </w:tblCellMar>
        </w:tblPrEx>
        <w:trPr>
          <w:trHeight w:val="480" w:hRule="atLeast"/>
          <w:jc w:val="center"/>
        </w:trPr>
        <w:tc>
          <w:tcPr>
            <w:tcW w:w="1080" w:type="dxa"/>
            <w:vMerge w:val="restart"/>
            <w:tcBorders>
              <w:top w:val="single" w:color="auto" w:sz="4" w:space="0"/>
              <w:left w:val="single" w:color="auto" w:sz="4" w:space="0"/>
              <w:right w:val="single" w:color="auto" w:sz="4" w:space="0"/>
            </w:tcBorders>
            <w:vAlign w:val="center"/>
          </w:tcPr>
          <w:p w14:paraId="36F38688">
            <w:pPr>
              <w:widowControl/>
              <w:spacing w:line="240" w:lineRule="exact"/>
              <w:jc w:val="center"/>
              <w:rPr>
                <w:rFonts w:eastAsia="仿宋_GB2312"/>
                <w:color w:val="000000"/>
                <w:kern w:val="0"/>
                <w:szCs w:val="21"/>
              </w:rPr>
            </w:pPr>
            <w:r>
              <w:rPr>
                <w:rFonts w:hint="eastAsia" w:eastAsia="仿宋_GB2312"/>
                <w:color w:val="000000"/>
                <w:kern w:val="0"/>
                <w:szCs w:val="21"/>
              </w:rPr>
              <w:t>绩</w:t>
            </w:r>
          </w:p>
          <w:p w14:paraId="0E882AEB">
            <w:pPr>
              <w:widowControl/>
              <w:spacing w:line="240" w:lineRule="exact"/>
              <w:jc w:val="center"/>
              <w:rPr>
                <w:rFonts w:eastAsia="仿宋_GB2312"/>
                <w:color w:val="000000"/>
                <w:kern w:val="0"/>
                <w:szCs w:val="21"/>
              </w:rPr>
            </w:pPr>
            <w:r>
              <w:rPr>
                <w:rFonts w:hint="eastAsia" w:eastAsia="仿宋_GB2312"/>
                <w:color w:val="000000"/>
                <w:kern w:val="0"/>
                <w:szCs w:val="21"/>
              </w:rPr>
              <w:t>效</w:t>
            </w:r>
          </w:p>
          <w:p w14:paraId="7E664143">
            <w:pPr>
              <w:widowControl/>
              <w:spacing w:line="240" w:lineRule="exact"/>
              <w:jc w:val="center"/>
              <w:rPr>
                <w:rFonts w:eastAsia="仿宋_GB2312"/>
                <w:color w:val="000000"/>
                <w:kern w:val="0"/>
                <w:szCs w:val="21"/>
              </w:rPr>
            </w:pPr>
            <w:r>
              <w:rPr>
                <w:rFonts w:hint="eastAsia" w:eastAsia="仿宋_GB2312"/>
                <w:color w:val="000000"/>
                <w:kern w:val="0"/>
                <w:szCs w:val="21"/>
              </w:rPr>
              <w:t>指</w:t>
            </w:r>
          </w:p>
          <w:p w14:paraId="4C999645">
            <w:pPr>
              <w:widowControl/>
              <w:spacing w:line="240" w:lineRule="exact"/>
              <w:jc w:val="center"/>
              <w:rPr>
                <w:rFonts w:eastAsia="仿宋_GB2312"/>
                <w:color w:val="000000"/>
                <w:kern w:val="0"/>
                <w:szCs w:val="21"/>
              </w:rPr>
            </w:pPr>
            <w:r>
              <w:rPr>
                <w:rFonts w:hint="eastAsia" w:eastAsia="仿宋_GB2312"/>
                <w:color w:val="000000"/>
                <w:kern w:val="0"/>
                <w:szCs w:val="21"/>
              </w:rPr>
              <w:t>标</w:t>
            </w:r>
          </w:p>
        </w:tc>
        <w:tc>
          <w:tcPr>
            <w:tcW w:w="1080" w:type="dxa"/>
            <w:vMerge w:val="restart"/>
            <w:tcBorders>
              <w:top w:val="single" w:color="auto" w:sz="4" w:space="0"/>
              <w:left w:val="single" w:color="auto" w:sz="4" w:space="0"/>
              <w:right w:val="single" w:color="auto" w:sz="4" w:space="0"/>
            </w:tcBorders>
            <w:vAlign w:val="center"/>
          </w:tcPr>
          <w:p w14:paraId="623A0566">
            <w:pPr>
              <w:widowControl/>
              <w:spacing w:line="240" w:lineRule="exact"/>
              <w:jc w:val="left"/>
              <w:rPr>
                <w:rFonts w:eastAsia="仿宋_GB2312"/>
                <w:color w:val="000000"/>
                <w:kern w:val="0"/>
                <w:szCs w:val="21"/>
              </w:rPr>
            </w:pPr>
            <w:r>
              <w:rPr>
                <w:rFonts w:hint="eastAsia" w:eastAsia="仿宋_GB2312"/>
                <w:color w:val="000000"/>
                <w:kern w:val="0"/>
                <w:szCs w:val="21"/>
              </w:rPr>
              <w:t>　</w:t>
            </w:r>
          </w:p>
          <w:p w14:paraId="21395196">
            <w:pPr>
              <w:widowControl/>
              <w:spacing w:line="240" w:lineRule="exact"/>
              <w:jc w:val="center"/>
              <w:rPr>
                <w:rFonts w:eastAsia="仿宋_GB2312"/>
                <w:color w:val="000000"/>
                <w:kern w:val="0"/>
                <w:szCs w:val="21"/>
              </w:rPr>
            </w:pPr>
            <w:r>
              <w:rPr>
                <w:rFonts w:hint="eastAsia" w:eastAsia="仿宋_GB2312"/>
                <w:color w:val="000000"/>
                <w:kern w:val="0"/>
                <w:szCs w:val="21"/>
              </w:rPr>
              <w:t>满意度</w:t>
            </w:r>
          </w:p>
          <w:p w14:paraId="2E1D64DE">
            <w:pPr>
              <w:widowControl/>
              <w:spacing w:line="240" w:lineRule="exact"/>
              <w:jc w:val="center"/>
              <w:rPr>
                <w:rFonts w:eastAsia="仿宋_GB2312"/>
                <w:color w:val="000000"/>
                <w:kern w:val="0"/>
                <w:szCs w:val="21"/>
              </w:rPr>
            </w:pPr>
            <w:r>
              <w:rPr>
                <w:rFonts w:hint="eastAsia" w:eastAsia="仿宋_GB2312"/>
                <w:color w:val="000000"/>
                <w:kern w:val="0"/>
                <w:szCs w:val="21"/>
              </w:rPr>
              <w:t>指标</w:t>
            </w:r>
          </w:p>
          <w:p w14:paraId="62C100BD">
            <w:pPr>
              <w:widowControl/>
              <w:spacing w:line="240" w:lineRule="exact"/>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10</w:t>
            </w:r>
            <w:r>
              <w:rPr>
                <w:rFonts w:hint="eastAsia" w:eastAsia="仿宋_GB2312"/>
                <w:color w:val="000000"/>
                <w:kern w:val="0"/>
                <w:szCs w:val="21"/>
              </w:rPr>
              <w:t>分）</w:t>
            </w:r>
          </w:p>
        </w:tc>
        <w:tc>
          <w:tcPr>
            <w:tcW w:w="953" w:type="dxa"/>
            <w:tcBorders>
              <w:top w:val="single" w:color="auto" w:sz="4" w:space="0"/>
              <w:left w:val="single" w:color="auto" w:sz="4" w:space="0"/>
              <w:bottom w:val="single" w:color="auto" w:sz="4" w:space="0"/>
              <w:right w:val="single" w:color="auto" w:sz="4" w:space="0"/>
            </w:tcBorders>
            <w:vAlign w:val="center"/>
          </w:tcPr>
          <w:p w14:paraId="44A3A811">
            <w:pPr>
              <w:widowControl/>
              <w:spacing w:line="240" w:lineRule="exact"/>
              <w:jc w:val="center"/>
              <w:rPr>
                <w:rFonts w:eastAsia="仿宋_GB2312"/>
                <w:color w:val="000000"/>
                <w:kern w:val="0"/>
                <w:szCs w:val="21"/>
              </w:rPr>
            </w:pPr>
            <w:r>
              <w:rPr>
                <w:rFonts w:hint="eastAsia" w:eastAsia="仿宋_GB2312"/>
                <w:color w:val="000000"/>
                <w:kern w:val="0"/>
                <w:szCs w:val="21"/>
              </w:rPr>
              <w:t>可持续影响指标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14:paraId="50E76A58">
            <w:pPr>
              <w:widowControl/>
              <w:spacing w:line="240" w:lineRule="exact"/>
              <w:jc w:val="left"/>
              <w:rPr>
                <w:rFonts w:eastAsia="仿宋_GB2312"/>
                <w:color w:val="000000"/>
                <w:kern w:val="0"/>
                <w:szCs w:val="21"/>
              </w:rPr>
            </w:pPr>
            <w:r>
              <w:rPr>
                <w:rFonts w:hint="eastAsia" w:eastAsia="仿宋_GB2312"/>
                <w:color w:val="000000"/>
                <w:kern w:val="0"/>
                <w:szCs w:val="21"/>
              </w:rPr>
              <w:t>持续发展主业</w:t>
            </w:r>
          </w:p>
        </w:tc>
        <w:tc>
          <w:tcPr>
            <w:tcW w:w="1200" w:type="dxa"/>
            <w:tcBorders>
              <w:top w:val="single" w:color="auto" w:sz="4" w:space="0"/>
              <w:left w:val="single" w:color="auto" w:sz="4" w:space="0"/>
              <w:bottom w:val="single" w:color="auto" w:sz="4" w:space="0"/>
              <w:right w:val="single" w:color="auto" w:sz="4" w:space="0"/>
            </w:tcBorders>
            <w:vAlign w:val="center"/>
          </w:tcPr>
          <w:p w14:paraId="086CBFD7">
            <w:pPr>
              <w:widowControl/>
              <w:spacing w:line="240" w:lineRule="exact"/>
              <w:jc w:val="left"/>
              <w:rPr>
                <w:rFonts w:eastAsia="仿宋_GB2312"/>
                <w:color w:val="000000"/>
                <w:kern w:val="0"/>
                <w:szCs w:val="21"/>
              </w:rPr>
            </w:pPr>
            <w:r>
              <w:rPr>
                <w:rFonts w:hint="eastAsia" w:eastAsia="仿宋_GB2312"/>
                <w:color w:val="000000"/>
                <w:kern w:val="0"/>
                <w:szCs w:val="21"/>
              </w:rPr>
              <w:t>发展态势良好</w:t>
            </w:r>
          </w:p>
        </w:tc>
        <w:tc>
          <w:tcPr>
            <w:tcW w:w="1276" w:type="dxa"/>
            <w:tcBorders>
              <w:top w:val="single" w:color="auto" w:sz="4" w:space="0"/>
              <w:left w:val="single" w:color="auto" w:sz="4" w:space="0"/>
              <w:bottom w:val="single" w:color="auto" w:sz="4" w:space="0"/>
              <w:right w:val="single" w:color="auto" w:sz="4" w:space="0"/>
            </w:tcBorders>
            <w:vAlign w:val="center"/>
          </w:tcPr>
          <w:p w14:paraId="01B96E66">
            <w:pPr>
              <w:widowControl/>
              <w:spacing w:line="240" w:lineRule="exact"/>
              <w:jc w:val="center"/>
              <w:rPr>
                <w:rFonts w:eastAsia="仿宋_GB2312"/>
                <w:color w:val="000000"/>
                <w:kern w:val="0"/>
                <w:szCs w:val="21"/>
              </w:rPr>
            </w:pPr>
            <w:r>
              <w:rPr>
                <w:rFonts w:hint="eastAsia" w:eastAsia="仿宋_GB2312"/>
                <w:color w:val="000000"/>
                <w:kern w:val="0"/>
                <w:szCs w:val="21"/>
              </w:rPr>
              <w:t>100%</w:t>
            </w:r>
          </w:p>
        </w:tc>
        <w:tc>
          <w:tcPr>
            <w:tcW w:w="709" w:type="dxa"/>
            <w:tcBorders>
              <w:top w:val="single" w:color="auto" w:sz="4" w:space="0"/>
              <w:left w:val="single" w:color="auto" w:sz="4" w:space="0"/>
              <w:bottom w:val="single" w:color="auto" w:sz="4" w:space="0"/>
              <w:right w:val="single" w:color="auto" w:sz="4" w:space="0"/>
            </w:tcBorders>
            <w:vAlign w:val="center"/>
          </w:tcPr>
          <w:p w14:paraId="076D0736">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992" w:type="dxa"/>
            <w:tcBorders>
              <w:top w:val="single" w:color="auto" w:sz="4" w:space="0"/>
              <w:left w:val="single" w:color="auto" w:sz="4" w:space="0"/>
              <w:bottom w:val="single" w:color="auto" w:sz="4" w:space="0"/>
              <w:right w:val="single" w:color="auto" w:sz="4" w:space="0"/>
            </w:tcBorders>
            <w:vAlign w:val="center"/>
          </w:tcPr>
          <w:p w14:paraId="491E3644">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1352" w:type="dxa"/>
            <w:tcBorders>
              <w:top w:val="single" w:color="auto" w:sz="4" w:space="0"/>
              <w:left w:val="single" w:color="auto" w:sz="4" w:space="0"/>
              <w:bottom w:val="single" w:color="auto" w:sz="4" w:space="0"/>
              <w:right w:val="single" w:color="auto" w:sz="4" w:space="0"/>
            </w:tcBorders>
            <w:vAlign w:val="center"/>
          </w:tcPr>
          <w:p w14:paraId="78D6A393">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14:paraId="6E20259B">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vAlign w:val="center"/>
          </w:tcPr>
          <w:p w14:paraId="0FE92C3E">
            <w:pPr>
              <w:spacing w:line="240" w:lineRule="exact"/>
              <w:jc w:val="left"/>
              <w:rPr>
                <w:rFonts w:eastAsia="仿宋_GB2312"/>
                <w:color w:val="000000"/>
                <w:kern w:val="0"/>
                <w:szCs w:val="21"/>
              </w:rPr>
            </w:pPr>
          </w:p>
        </w:tc>
        <w:tc>
          <w:tcPr>
            <w:tcW w:w="1080" w:type="dxa"/>
            <w:vMerge w:val="continue"/>
            <w:tcBorders>
              <w:left w:val="single" w:color="auto" w:sz="4" w:space="0"/>
              <w:right w:val="single" w:color="auto" w:sz="4" w:space="0"/>
            </w:tcBorders>
            <w:vAlign w:val="center"/>
          </w:tcPr>
          <w:p w14:paraId="4E11A8AA">
            <w:pPr>
              <w:widowControl/>
              <w:spacing w:line="240" w:lineRule="exact"/>
              <w:jc w:val="center"/>
              <w:rPr>
                <w:rFonts w:eastAsia="仿宋_GB2312"/>
                <w:color w:val="000000"/>
                <w:kern w:val="0"/>
                <w:szCs w:val="21"/>
              </w:rPr>
            </w:pPr>
          </w:p>
        </w:tc>
        <w:tc>
          <w:tcPr>
            <w:tcW w:w="953" w:type="dxa"/>
            <w:tcBorders>
              <w:top w:val="single" w:color="auto" w:sz="4" w:space="0"/>
              <w:left w:val="single" w:color="auto" w:sz="4" w:space="0"/>
              <w:bottom w:val="single" w:color="auto" w:sz="4" w:space="0"/>
              <w:right w:val="single" w:color="auto" w:sz="4" w:space="0"/>
            </w:tcBorders>
            <w:vAlign w:val="center"/>
          </w:tcPr>
          <w:p w14:paraId="7F9CF127">
            <w:pPr>
              <w:widowControl/>
              <w:spacing w:line="240" w:lineRule="exact"/>
              <w:jc w:val="center"/>
              <w:rPr>
                <w:rFonts w:eastAsia="仿宋_GB2312"/>
                <w:color w:val="000000"/>
                <w:kern w:val="0"/>
                <w:szCs w:val="21"/>
              </w:rPr>
            </w:pPr>
            <w:r>
              <w:rPr>
                <w:rFonts w:hint="eastAsia" w:eastAsia="仿宋_GB2312"/>
                <w:color w:val="000000"/>
                <w:kern w:val="0"/>
                <w:szCs w:val="21"/>
              </w:rPr>
              <w:t>服务对象满意度指标</w:t>
            </w:r>
          </w:p>
        </w:tc>
        <w:tc>
          <w:tcPr>
            <w:tcW w:w="1351" w:type="dxa"/>
            <w:gridSpan w:val="2"/>
            <w:tcBorders>
              <w:top w:val="nil"/>
              <w:left w:val="nil"/>
              <w:bottom w:val="single" w:color="auto" w:sz="4" w:space="0"/>
              <w:right w:val="single" w:color="auto" w:sz="4" w:space="0"/>
            </w:tcBorders>
            <w:vAlign w:val="center"/>
          </w:tcPr>
          <w:p w14:paraId="5D46FD4E">
            <w:pPr>
              <w:widowControl/>
              <w:spacing w:line="240" w:lineRule="exact"/>
              <w:jc w:val="left"/>
              <w:rPr>
                <w:rFonts w:eastAsia="仿宋_GB2312"/>
                <w:color w:val="000000"/>
                <w:kern w:val="0"/>
                <w:szCs w:val="21"/>
              </w:rPr>
            </w:pPr>
            <w:r>
              <w:rPr>
                <w:rFonts w:hint="eastAsia" w:eastAsia="仿宋_GB2312"/>
                <w:color w:val="000000"/>
                <w:kern w:val="0"/>
                <w:szCs w:val="21"/>
              </w:rPr>
              <w:t>服务基层</w:t>
            </w:r>
          </w:p>
        </w:tc>
        <w:tc>
          <w:tcPr>
            <w:tcW w:w="1200" w:type="dxa"/>
            <w:tcBorders>
              <w:top w:val="nil"/>
              <w:left w:val="nil"/>
              <w:bottom w:val="single" w:color="auto" w:sz="4" w:space="0"/>
              <w:right w:val="single" w:color="auto" w:sz="4" w:space="0"/>
            </w:tcBorders>
            <w:vAlign w:val="center"/>
          </w:tcPr>
          <w:p w14:paraId="1BDC28B6">
            <w:pPr>
              <w:widowControl/>
              <w:spacing w:line="240" w:lineRule="exact"/>
              <w:jc w:val="left"/>
              <w:rPr>
                <w:rFonts w:eastAsia="仿宋_GB2312"/>
                <w:color w:val="000000"/>
                <w:kern w:val="0"/>
                <w:szCs w:val="21"/>
              </w:rPr>
            </w:pPr>
            <w:r>
              <w:rPr>
                <w:rFonts w:hint="eastAsia" w:eastAsia="仿宋_GB2312"/>
                <w:color w:val="000000"/>
                <w:kern w:val="0"/>
                <w:szCs w:val="21"/>
              </w:rPr>
              <w:t>效果很好</w:t>
            </w:r>
          </w:p>
        </w:tc>
        <w:tc>
          <w:tcPr>
            <w:tcW w:w="1276" w:type="dxa"/>
            <w:tcBorders>
              <w:top w:val="nil"/>
              <w:left w:val="nil"/>
              <w:bottom w:val="single" w:color="auto" w:sz="4" w:space="0"/>
              <w:right w:val="single" w:color="auto" w:sz="4" w:space="0"/>
            </w:tcBorders>
            <w:vAlign w:val="center"/>
          </w:tcPr>
          <w:p w14:paraId="60EF094F">
            <w:pPr>
              <w:widowControl/>
              <w:spacing w:line="240" w:lineRule="exact"/>
              <w:jc w:val="center"/>
              <w:rPr>
                <w:rFonts w:eastAsia="仿宋_GB2312"/>
                <w:color w:val="000000"/>
                <w:kern w:val="0"/>
                <w:szCs w:val="21"/>
              </w:rPr>
            </w:pPr>
            <w:r>
              <w:rPr>
                <w:rFonts w:hint="eastAsia" w:eastAsia="仿宋_GB2312"/>
                <w:color w:val="000000"/>
                <w:kern w:val="0"/>
                <w:szCs w:val="21"/>
              </w:rPr>
              <w:t>100%</w:t>
            </w:r>
          </w:p>
        </w:tc>
        <w:tc>
          <w:tcPr>
            <w:tcW w:w="709" w:type="dxa"/>
            <w:tcBorders>
              <w:top w:val="nil"/>
              <w:left w:val="nil"/>
              <w:bottom w:val="single" w:color="auto" w:sz="4" w:space="0"/>
              <w:right w:val="single" w:color="auto" w:sz="4" w:space="0"/>
            </w:tcBorders>
            <w:vAlign w:val="center"/>
          </w:tcPr>
          <w:p w14:paraId="39DB1CD5">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992" w:type="dxa"/>
            <w:tcBorders>
              <w:top w:val="nil"/>
              <w:left w:val="nil"/>
              <w:bottom w:val="single" w:color="auto" w:sz="4" w:space="0"/>
              <w:right w:val="single" w:color="auto" w:sz="4" w:space="0"/>
            </w:tcBorders>
            <w:vAlign w:val="center"/>
          </w:tcPr>
          <w:p w14:paraId="6ACEB826">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1352" w:type="dxa"/>
            <w:tcBorders>
              <w:top w:val="nil"/>
              <w:left w:val="nil"/>
              <w:bottom w:val="single" w:color="auto" w:sz="4" w:space="0"/>
              <w:right w:val="single" w:color="auto" w:sz="4" w:space="0"/>
            </w:tcBorders>
            <w:vAlign w:val="center"/>
          </w:tcPr>
          <w:p w14:paraId="746DB9D1">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14:paraId="35C0A094">
        <w:tblPrEx>
          <w:tblCellMar>
            <w:top w:w="0" w:type="dxa"/>
            <w:left w:w="108" w:type="dxa"/>
            <w:bottom w:w="0" w:type="dxa"/>
            <w:right w:w="108" w:type="dxa"/>
          </w:tblCellMar>
        </w:tblPrEx>
        <w:trPr>
          <w:trHeight w:val="270" w:hRule="atLeast"/>
          <w:jc w:val="center"/>
        </w:trPr>
        <w:tc>
          <w:tcPr>
            <w:tcW w:w="6940" w:type="dxa"/>
            <w:gridSpan w:val="7"/>
            <w:tcBorders>
              <w:top w:val="single" w:color="auto" w:sz="4" w:space="0"/>
              <w:left w:val="single" w:color="auto" w:sz="4" w:space="0"/>
              <w:bottom w:val="single" w:color="auto" w:sz="4" w:space="0"/>
              <w:right w:val="single" w:color="000000" w:sz="4" w:space="0"/>
            </w:tcBorders>
            <w:vAlign w:val="center"/>
          </w:tcPr>
          <w:p w14:paraId="0C8CA391">
            <w:pPr>
              <w:widowControl/>
              <w:spacing w:line="240" w:lineRule="exact"/>
              <w:jc w:val="center"/>
              <w:rPr>
                <w:rFonts w:eastAsia="仿宋_GB2312"/>
                <w:color w:val="000000"/>
                <w:kern w:val="0"/>
                <w:szCs w:val="21"/>
              </w:rPr>
            </w:pPr>
            <w:r>
              <w:rPr>
                <w:rFonts w:hint="eastAsia" w:eastAsia="仿宋_GB2312"/>
                <w:color w:val="000000"/>
                <w:kern w:val="0"/>
                <w:szCs w:val="21"/>
              </w:rPr>
              <w:t>总分</w:t>
            </w:r>
          </w:p>
        </w:tc>
        <w:tc>
          <w:tcPr>
            <w:tcW w:w="709" w:type="dxa"/>
            <w:tcBorders>
              <w:top w:val="nil"/>
              <w:left w:val="nil"/>
              <w:bottom w:val="single" w:color="auto" w:sz="4" w:space="0"/>
              <w:right w:val="single" w:color="auto" w:sz="4" w:space="0"/>
            </w:tcBorders>
            <w:vAlign w:val="center"/>
          </w:tcPr>
          <w:p w14:paraId="36231571">
            <w:pPr>
              <w:widowControl/>
              <w:spacing w:line="240" w:lineRule="exact"/>
              <w:jc w:val="center"/>
              <w:rPr>
                <w:rFonts w:eastAsia="仿宋_GB2312"/>
                <w:color w:val="000000"/>
                <w:kern w:val="0"/>
                <w:szCs w:val="21"/>
              </w:rPr>
            </w:pPr>
            <w:r>
              <w:rPr>
                <w:rFonts w:eastAsia="仿宋_GB2312"/>
                <w:color w:val="000000"/>
                <w:kern w:val="0"/>
                <w:szCs w:val="21"/>
              </w:rPr>
              <w:t>100</w:t>
            </w:r>
          </w:p>
        </w:tc>
        <w:tc>
          <w:tcPr>
            <w:tcW w:w="992" w:type="dxa"/>
            <w:tcBorders>
              <w:top w:val="nil"/>
              <w:left w:val="nil"/>
              <w:bottom w:val="single" w:color="auto" w:sz="4" w:space="0"/>
              <w:right w:val="single" w:color="auto" w:sz="4" w:space="0"/>
            </w:tcBorders>
            <w:vAlign w:val="center"/>
          </w:tcPr>
          <w:p w14:paraId="7458694E">
            <w:pPr>
              <w:widowControl/>
              <w:spacing w:line="240" w:lineRule="exact"/>
              <w:jc w:val="left"/>
              <w:rPr>
                <w:rFonts w:eastAsia="仿宋_GB2312"/>
                <w:color w:val="000000"/>
                <w:kern w:val="0"/>
                <w:szCs w:val="21"/>
              </w:rPr>
            </w:pPr>
            <w:r>
              <w:rPr>
                <w:rFonts w:hint="eastAsia" w:eastAsia="仿宋_GB2312"/>
                <w:color w:val="000000"/>
                <w:kern w:val="0"/>
                <w:szCs w:val="21"/>
              </w:rPr>
              <w:t>　99</w:t>
            </w:r>
          </w:p>
        </w:tc>
        <w:tc>
          <w:tcPr>
            <w:tcW w:w="1352" w:type="dxa"/>
            <w:tcBorders>
              <w:top w:val="nil"/>
              <w:left w:val="nil"/>
              <w:bottom w:val="single" w:color="auto" w:sz="4" w:space="0"/>
              <w:right w:val="single" w:color="auto" w:sz="4" w:space="0"/>
            </w:tcBorders>
            <w:vAlign w:val="center"/>
          </w:tcPr>
          <w:p w14:paraId="34D226A9">
            <w:pPr>
              <w:widowControl/>
              <w:spacing w:line="240" w:lineRule="exact"/>
              <w:jc w:val="left"/>
              <w:rPr>
                <w:rFonts w:eastAsia="仿宋_GB2312"/>
                <w:color w:val="000000"/>
                <w:kern w:val="0"/>
                <w:szCs w:val="21"/>
              </w:rPr>
            </w:pPr>
            <w:r>
              <w:rPr>
                <w:rFonts w:hint="eastAsia" w:eastAsia="仿宋_GB2312"/>
                <w:color w:val="000000"/>
                <w:kern w:val="0"/>
                <w:szCs w:val="21"/>
              </w:rPr>
              <w:t>　</w:t>
            </w:r>
          </w:p>
        </w:tc>
      </w:tr>
    </w:tbl>
    <w:p w14:paraId="2CB91B62">
      <w:pPr>
        <w:widowControl/>
        <w:spacing w:line="240" w:lineRule="exact"/>
        <w:jc w:val="left"/>
        <w:rPr>
          <w:rFonts w:eastAsia="仿宋_GB2312"/>
          <w:kern w:val="0"/>
          <w:szCs w:val="21"/>
        </w:rPr>
      </w:pPr>
    </w:p>
    <w:p w14:paraId="13153C44">
      <w:pPr>
        <w:widowControl/>
        <w:spacing w:line="600" w:lineRule="exact"/>
        <w:jc w:val="left"/>
        <w:rPr>
          <w:rFonts w:eastAsia="仿宋_GB2312"/>
          <w:sz w:val="32"/>
          <w:szCs w:val="32"/>
        </w:rPr>
      </w:pPr>
      <w:r>
        <w:rPr>
          <w:rFonts w:hint="eastAsia" w:eastAsia="仿宋_GB2312"/>
          <w:kern w:val="0"/>
          <w:sz w:val="22"/>
        </w:rPr>
        <w:t>填表人：刘莹华 填报日期：2022.04.24  联系电话：13517366448</w:t>
      </w:r>
      <w:r>
        <w:rPr>
          <w:rFonts w:eastAsia="仿宋_GB2312"/>
          <w:kern w:val="0"/>
          <w:sz w:val="22"/>
        </w:rPr>
        <w:t xml:space="preserve"> </w:t>
      </w:r>
      <w:r>
        <w:rPr>
          <w:rFonts w:hint="eastAsia" w:eastAsia="仿宋_GB2312"/>
          <w:kern w:val="0"/>
          <w:sz w:val="22"/>
        </w:rPr>
        <w:t>单位负责人签字：张健</w:t>
      </w:r>
    </w:p>
    <w:p w14:paraId="167E1100">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10F09">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3</w:t>
    </w:r>
    <w:r>
      <w:rPr>
        <w:rStyle w:val="8"/>
      </w:rPr>
      <w:fldChar w:fldCharType="end"/>
    </w:r>
  </w:p>
  <w:p w14:paraId="576797A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04D76">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wMmNmNGI0ZTE3NzY4YmE3NjExYjE1ZDBiYjZjYTMifQ=="/>
  </w:docVars>
  <w:rsids>
    <w:rsidRoot w:val="00172A27"/>
    <w:rsid w:val="0002229B"/>
    <w:rsid w:val="000273BD"/>
    <w:rsid w:val="000415B7"/>
    <w:rsid w:val="00041E3F"/>
    <w:rsid w:val="00055DAA"/>
    <w:rsid w:val="00061F7B"/>
    <w:rsid w:val="000658A3"/>
    <w:rsid w:val="00074155"/>
    <w:rsid w:val="00083991"/>
    <w:rsid w:val="000873EF"/>
    <w:rsid w:val="000A3F69"/>
    <w:rsid w:val="00103957"/>
    <w:rsid w:val="00124A1F"/>
    <w:rsid w:val="00152C6D"/>
    <w:rsid w:val="00162D39"/>
    <w:rsid w:val="001678BD"/>
    <w:rsid w:val="00172A27"/>
    <w:rsid w:val="00182373"/>
    <w:rsid w:val="001A67DB"/>
    <w:rsid w:val="001C3C29"/>
    <w:rsid w:val="001D51E5"/>
    <w:rsid w:val="001E080D"/>
    <w:rsid w:val="001E53D0"/>
    <w:rsid w:val="001F0C3B"/>
    <w:rsid w:val="00202C14"/>
    <w:rsid w:val="00202C82"/>
    <w:rsid w:val="00214427"/>
    <w:rsid w:val="00222A3A"/>
    <w:rsid w:val="00226CB7"/>
    <w:rsid w:val="0024465A"/>
    <w:rsid w:val="00264552"/>
    <w:rsid w:val="00264EF9"/>
    <w:rsid w:val="00265724"/>
    <w:rsid w:val="00272379"/>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4F23B6"/>
    <w:rsid w:val="00500E5F"/>
    <w:rsid w:val="005122EF"/>
    <w:rsid w:val="0051441A"/>
    <w:rsid w:val="00517C33"/>
    <w:rsid w:val="00517D5F"/>
    <w:rsid w:val="00521AF2"/>
    <w:rsid w:val="00523644"/>
    <w:rsid w:val="0054069E"/>
    <w:rsid w:val="00544866"/>
    <w:rsid w:val="00562E56"/>
    <w:rsid w:val="005767CC"/>
    <w:rsid w:val="00590D9F"/>
    <w:rsid w:val="00595D26"/>
    <w:rsid w:val="005A74E6"/>
    <w:rsid w:val="005B404E"/>
    <w:rsid w:val="005D4D55"/>
    <w:rsid w:val="005E2CFB"/>
    <w:rsid w:val="005F2103"/>
    <w:rsid w:val="005F2699"/>
    <w:rsid w:val="005F3D1C"/>
    <w:rsid w:val="0062378F"/>
    <w:rsid w:val="00624474"/>
    <w:rsid w:val="00641842"/>
    <w:rsid w:val="00651EEC"/>
    <w:rsid w:val="00686673"/>
    <w:rsid w:val="00691E8C"/>
    <w:rsid w:val="006A22C4"/>
    <w:rsid w:val="006A348B"/>
    <w:rsid w:val="006A351B"/>
    <w:rsid w:val="006B0422"/>
    <w:rsid w:val="006C1B53"/>
    <w:rsid w:val="006D7730"/>
    <w:rsid w:val="006E5284"/>
    <w:rsid w:val="006E6444"/>
    <w:rsid w:val="006E76AE"/>
    <w:rsid w:val="006F0CCE"/>
    <w:rsid w:val="006F3EB5"/>
    <w:rsid w:val="006F562A"/>
    <w:rsid w:val="006F6429"/>
    <w:rsid w:val="00702E34"/>
    <w:rsid w:val="00704395"/>
    <w:rsid w:val="00710FE7"/>
    <w:rsid w:val="00714EB4"/>
    <w:rsid w:val="00717621"/>
    <w:rsid w:val="00720FF1"/>
    <w:rsid w:val="0072272F"/>
    <w:rsid w:val="00727A53"/>
    <w:rsid w:val="00733C63"/>
    <w:rsid w:val="00787B42"/>
    <w:rsid w:val="007C4539"/>
    <w:rsid w:val="007D1865"/>
    <w:rsid w:val="007F3657"/>
    <w:rsid w:val="00812ED5"/>
    <w:rsid w:val="008277D9"/>
    <w:rsid w:val="0084478C"/>
    <w:rsid w:val="0086638C"/>
    <w:rsid w:val="00880CF7"/>
    <w:rsid w:val="008A3E8D"/>
    <w:rsid w:val="009237C4"/>
    <w:rsid w:val="00944C48"/>
    <w:rsid w:val="00950252"/>
    <w:rsid w:val="00967F5D"/>
    <w:rsid w:val="0097502C"/>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23E2E"/>
    <w:rsid w:val="00C3049A"/>
    <w:rsid w:val="00C31B1E"/>
    <w:rsid w:val="00C77645"/>
    <w:rsid w:val="00CE04C3"/>
    <w:rsid w:val="00CE76A0"/>
    <w:rsid w:val="00D0384E"/>
    <w:rsid w:val="00D148C6"/>
    <w:rsid w:val="00D17A8A"/>
    <w:rsid w:val="00D415BA"/>
    <w:rsid w:val="00D4576A"/>
    <w:rsid w:val="00D63780"/>
    <w:rsid w:val="00D644EE"/>
    <w:rsid w:val="00D75489"/>
    <w:rsid w:val="00DD06FF"/>
    <w:rsid w:val="00DD5FE9"/>
    <w:rsid w:val="00DE63A5"/>
    <w:rsid w:val="00E00C7A"/>
    <w:rsid w:val="00E209CF"/>
    <w:rsid w:val="00E37D6C"/>
    <w:rsid w:val="00E55B68"/>
    <w:rsid w:val="00E67BE6"/>
    <w:rsid w:val="00E8683C"/>
    <w:rsid w:val="00EA2B72"/>
    <w:rsid w:val="00EC0811"/>
    <w:rsid w:val="00F74360"/>
    <w:rsid w:val="00F836D3"/>
    <w:rsid w:val="00FA5A7E"/>
    <w:rsid w:val="00FB462F"/>
    <w:rsid w:val="00FE16FA"/>
    <w:rsid w:val="00FE328A"/>
    <w:rsid w:val="00FE6269"/>
    <w:rsid w:val="00FF5CD6"/>
    <w:rsid w:val="01140055"/>
    <w:rsid w:val="05CF1553"/>
    <w:rsid w:val="070939A6"/>
    <w:rsid w:val="080916D3"/>
    <w:rsid w:val="080E424B"/>
    <w:rsid w:val="085B3B1D"/>
    <w:rsid w:val="0F952395"/>
    <w:rsid w:val="12757F40"/>
    <w:rsid w:val="14E17104"/>
    <w:rsid w:val="1CFD7614"/>
    <w:rsid w:val="1F48616B"/>
    <w:rsid w:val="204543A8"/>
    <w:rsid w:val="22DC083A"/>
    <w:rsid w:val="238E0887"/>
    <w:rsid w:val="28D9231D"/>
    <w:rsid w:val="2FAF21BD"/>
    <w:rsid w:val="2FFD4323"/>
    <w:rsid w:val="3BF00047"/>
    <w:rsid w:val="46DF70EC"/>
    <w:rsid w:val="47324705"/>
    <w:rsid w:val="47615D17"/>
    <w:rsid w:val="4AE858B7"/>
    <w:rsid w:val="4D4A525E"/>
    <w:rsid w:val="4DEE7CB3"/>
    <w:rsid w:val="52B31A21"/>
    <w:rsid w:val="55EC7C0A"/>
    <w:rsid w:val="55FF50B5"/>
    <w:rsid w:val="56385DC9"/>
    <w:rsid w:val="5C45A3EA"/>
    <w:rsid w:val="5D592C62"/>
    <w:rsid w:val="5D791F0E"/>
    <w:rsid w:val="5FE7AD85"/>
    <w:rsid w:val="65762A84"/>
    <w:rsid w:val="66477CA5"/>
    <w:rsid w:val="6694184A"/>
    <w:rsid w:val="6950003B"/>
    <w:rsid w:val="6AC326FD"/>
    <w:rsid w:val="6D72762C"/>
    <w:rsid w:val="6EEF7845"/>
    <w:rsid w:val="73414E65"/>
    <w:rsid w:val="74A9397A"/>
    <w:rsid w:val="7A3FB10D"/>
    <w:rsid w:val="7BCF21FE"/>
    <w:rsid w:val="7C7F10AF"/>
    <w:rsid w:val="7CE31D4B"/>
    <w:rsid w:val="7E7D753D"/>
    <w:rsid w:val="7FFE0653"/>
    <w:rsid w:val="DAFFC677"/>
    <w:rsid w:val="DE7D2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8">
    <w:name w:val="page number"/>
    <w:basedOn w:val="7"/>
    <w:qFormat/>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37</Pages>
  <Words>11225</Words>
  <Characters>12039</Characters>
  <Lines>100</Lines>
  <Paragraphs>28</Paragraphs>
  <TotalTime>0</TotalTime>
  <ScaleCrop>false</ScaleCrop>
  <LinksUpToDate>false</LinksUpToDate>
  <CharactersWithSpaces>12324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2020-07-02T18:32:00Z</dcterms:created>
  <dc:creator>李航 null</dc:creator>
  <cp:lastModifiedBy>姚娟</cp:lastModifiedBy>
  <cp:lastPrinted>2022-07-28T04:55:00Z</cp:lastPrinted>
  <dcterms:modified xsi:type="dcterms:W3CDTF">2025-05-22T11:37:14Z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E0E28036A2C747ABA58A1ABFA8E78403</vt:lpwstr>
  </property>
  <property fmtid="{D5CDD505-2E9C-101B-9397-08002B2CF9AE}" pid="4" name="KSOTemplateDocerSaveRecord">
    <vt:lpwstr>eyJoZGlkIjoiMzEwNTM5NzYwMDRjMzkwZTVkZjY2ODkwMGIxNGU0OTUiLCJ1c2VySWQiOiIxNjE4MzU1MDA5In0=</vt:lpwstr>
  </property>
</Properties>
</file>