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2021年度</w:t>
      </w:r>
    </w:p>
    <w:p>
      <w:pPr>
        <w:pStyle w:val="12"/>
        <w:jc w:val="center"/>
        <w:rPr>
          <w:sz w:val="84"/>
          <w:szCs w:val="84"/>
        </w:rPr>
      </w:pPr>
      <w:r>
        <w:rPr>
          <w:rFonts w:hint="eastAsia"/>
          <w:sz w:val="84"/>
          <w:szCs w:val="84"/>
        </w:rPr>
        <w:t>湖南省核工业地质局探矿技术研究所部门决算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spacing w:line="500" w:lineRule="exact"/>
        <w:jc w:val="both"/>
        <w:rPr>
          <w:b/>
          <w:sz w:val="36"/>
          <w:szCs w:val="28"/>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ind w:firstLine="4337" w:firstLineChars="1200"/>
        <w:jc w:val="both"/>
        <w:rPr>
          <w:b/>
          <w:sz w:val="36"/>
          <w:szCs w:val="28"/>
        </w:rPr>
      </w:pPr>
      <w:r>
        <w:rPr>
          <w:rFonts w:hint="eastAsia"/>
          <w:b/>
          <w:sz w:val="36"/>
          <w:szCs w:val="28"/>
        </w:rPr>
        <w:t>目录</w:t>
      </w:r>
    </w:p>
    <w:p>
      <w:pPr>
        <w:pStyle w:val="12"/>
        <w:spacing w:line="500" w:lineRule="exact"/>
        <w:rPr>
          <w:rFonts w:ascii="仿宋_GB2312" w:hAnsi="仿宋_GB2312" w:cs="仿宋_GB2312"/>
          <w:b/>
          <w:sz w:val="28"/>
          <w:szCs w:val="28"/>
        </w:rPr>
      </w:pPr>
      <w:r>
        <w:rPr>
          <w:rFonts w:hint="eastAsia"/>
          <w:b/>
          <w:sz w:val="28"/>
          <w:szCs w:val="28"/>
        </w:rPr>
        <w:t>第一部分 湖南省地质院探矿技术研究所概况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2"/>
        <w:jc w:val="center"/>
        <w:rPr>
          <w:sz w:val="84"/>
          <w:szCs w:val="84"/>
        </w:rPr>
      </w:pPr>
      <w:r>
        <w:rPr>
          <w:rFonts w:hint="eastAsia"/>
          <w:sz w:val="84"/>
          <w:szCs w:val="84"/>
        </w:rPr>
        <w:t>第一部分</w:t>
      </w:r>
    </w:p>
    <w:p>
      <w:pPr>
        <w:pStyle w:val="12"/>
        <w:jc w:val="center"/>
        <w:rPr>
          <w:sz w:val="84"/>
          <w:szCs w:val="84"/>
        </w:rPr>
      </w:pPr>
    </w:p>
    <w:p>
      <w:pPr>
        <w:pStyle w:val="12"/>
        <w:jc w:val="center"/>
        <w:rPr>
          <w:sz w:val="84"/>
          <w:szCs w:val="84"/>
        </w:rPr>
      </w:pPr>
      <w:r>
        <w:rPr>
          <w:rFonts w:hint="eastAsia"/>
          <w:sz w:val="84"/>
          <w:szCs w:val="84"/>
        </w:rPr>
        <w:t>湖南省核工业地质局探矿技术研究所单位概况</w:t>
      </w:r>
    </w:p>
    <w:p>
      <w:pPr>
        <w:jc w:val="center"/>
        <w:rPr>
          <w:sz w:val="72"/>
          <w:szCs w:val="72"/>
        </w:rPr>
      </w:pPr>
    </w:p>
    <w:p>
      <w:pPr>
        <w:jc w:val="center"/>
        <w:rPr>
          <w:sz w:val="72"/>
          <w:szCs w:val="72"/>
        </w:rPr>
      </w:pPr>
    </w:p>
    <w:p>
      <w:pPr>
        <w:pStyle w:val="13"/>
        <w:ind w:firstLine="0" w:firstLineChars="0"/>
        <w:jc w:val="left"/>
        <w:rPr>
          <w:rFonts w:ascii="黑体" w:hAnsi="黑体" w:eastAsia="黑体"/>
          <w:sz w:val="32"/>
          <w:szCs w:val="32"/>
        </w:rPr>
      </w:pPr>
    </w:p>
    <w:p>
      <w:pPr>
        <w:pStyle w:val="13"/>
        <w:ind w:firstLine="0" w:firstLineChars="0"/>
        <w:jc w:val="left"/>
        <w:rPr>
          <w:rFonts w:ascii="黑体" w:hAnsi="黑体" w:eastAsia="黑体"/>
          <w:sz w:val="32"/>
          <w:szCs w:val="32"/>
        </w:rPr>
      </w:pPr>
    </w:p>
    <w:p>
      <w:pPr>
        <w:pStyle w:val="13"/>
        <w:ind w:firstLine="0" w:firstLineChars="0"/>
        <w:jc w:val="left"/>
        <w:rPr>
          <w:rFonts w:ascii="黑体" w:hAnsi="黑体" w:eastAsia="黑体"/>
          <w:sz w:val="32"/>
          <w:szCs w:val="32"/>
        </w:rPr>
      </w:pPr>
    </w:p>
    <w:p>
      <w:pPr>
        <w:pStyle w:val="13"/>
        <w:ind w:firstLine="0" w:firstLineChars="0"/>
        <w:jc w:val="left"/>
        <w:rPr>
          <w:rFonts w:ascii="黑体" w:hAnsi="黑体" w:eastAsia="黑体"/>
          <w:sz w:val="32"/>
          <w:szCs w:val="32"/>
        </w:rPr>
      </w:pPr>
    </w:p>
    <w:p>
      <w:pPr>
        <w:pStyle w:val="13"/>
        <w:ind w:firstLine="0" w:firstLineChars="0"/>
        <w:jc w:val="left"/>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部门职责</w:t>
      </w:r>
    </w:p>
    <w:p>
      <w:pPr>
        <w:ind w:firstLine="640" w:firstLineChars="200"/>
        <w:jc w:val="left"/>
        <w:rPr>
          <w:rFonts w:ascii="黑体" w:hAnsi="黑体" w:eastAsia="黑体"/>
          <w:color w:val="FF0000"/>
          <w:sz w:val="32"/>
          <w:szCs w:val="32"/>
        </w:rPr>
      </w:pPr>
      <w:r>
        <w:rPr>
          <w:rFonts w:hint="eastAsia" w:asciiTheme="minorEastAsia" w:hAnsiTheme="minorEastAsia"/>
          <w:bCs/>
          <w:kern w:val="0"/>
          <w:sz w:val="32"/>
          <w:szCs w:val="32"/>
        </w:rPr>
        <w:t>湖南省核工业地质局探矿技术研究所为湖南省地质院所属二级预算单位，单位性质为财政补助事业单位。主要工作职责为：</w:t>
      </w:r>
    </w:p>
    <w:p>
      <w:pPr>
        <w:numPr>
          <w:ilvl w:val="0"/>
          <w:numId w:val="1"/>
        </w:numPr>
        <w:ind w:firstLine="640" w:firstLineChars="200"/>
        <w:jc w:val="left"/>
        <w:rPr>
          <w:rFonts w:asciiTheme="minorEastAsia" w:hAnsiTheme="minorEastAsia"/>
          <w:sz w:val="32"/>
          <w:szCs w:val="32"/>
        </w:rPr>
      </w:pPr>
      <w:r>
        <w:rPr>
          <w:rFonts w:hint="eastAsia" w:asciiTheme="minorEastAsia" w:hAnsiTheme="minorEastAsia"/>
          <w:sz w:val="32"/>
          <w:szCs w:val="32"/>
        </w:rPr>
        <w:t>贯彻执行放射性矿产探矿规划和年度计划组织实施</w:t>
      </w:r>
    </w:p>
    <w:p>
      <w:pPr>
        <w:ind w:firstLine="640" w:firstLineChars="200"/>
        <w:jc w:val="left"/>
        <w:rPr>
          <w:rFonts w:asciiTheme="minorEastAsia" w:hAnsiTheme="minorEastAsia"/>
          <w:sz w:val="32"/>
          <w:szCs w:val="32"/>
        </w:rPr>
      </w:pPr>
      <w:r>
        <w:rPr>
          <w:rFonts w:hint="eastAsia" w:asciiTheme="minorEastAsia" w:hAnsiTheme="minorEastAsia"/>
          <w:sz w:val="32"/>
          <w:szCs w:val="32"/>
        </w:rPr>
        <w:t>（二）指导局属各地勘单位解决技术难题，提供技术服务。</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（一）内设机构设置。湖南省核工业地质局探矿技术研究所单位内设机构包括5个职能部门：办公室、人力资源部、财务部、经营部和安监部。</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21年部门决算汇总公开单位构成包括：湖南省核工业地质局探矿技术研究所本级。</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ascii="黑体" w:eastAsia="黑体" w:cs="黑体"/>
          <w:color w:val="000000"/>
          <w:kern w:val="0"/>
          <w:sz w:val="84"/>
          <w:szCs w:val="84"/>
        </w:rPr>
      </w:pPr>
    </w:p>
    <w:p>
      <w:pPr>
        <w:jc w:val="center"/>
        <w:rPr>
          <w:rFonts w:ascii="黑体" w:eastAsia="黑体" w:cs="黑体"/>
          <w:color w:val="000000"/>
          <w:kern w:val="0"/>
          <w:sz w:val="84"/>
          <w:szCs w:val="84"/>
        </w:rPr>
      </w:pPr>
    </w:p>
    <w:p>
      <w:pPr>
        <w:jc w:val="center"/>
        <w:rPr>
          <w:rFonts w:ascii="黑体" w:eastAsia="黑体" w:cs="黑体"/>
          <w:color w:val="000000"/>
          <w:kern w:val="0"/>
          <w:sz w:val="84"/>
          <w:szCs w:val="84"/>
        </w:rPr>
      </w:pPr>
    </w:p>
    <w:p>
      <w:pPr>
        <w:jc w:val="center"/>
        <w:rPr>
          <w:rFonts w:ascii="黑体" w:eastAsia="黑体" w:cs="黑体"/>
          <w:color w:val="000000"/>
          <w:kern w:val="0"/>
          <w:sz w:val="84"/>
          <w:szCs w:val="84"/>
        </w:rPr>
      </w:pPr>
      <w:r>
        <w:rPr>
          <w:rFonts w:hint="eastAsia" w:ascii="黑体" w:eastAsia="黑体" w:cs="黑体"/>
          <w:color w:val="000000"/>
          <w:kern w:val="0"/>
          <w:sz w:val="84"/>
          <w:szCs w:val="84"/>
        </w:rPr>
        <w:t>第二部分</w:t>
      </w:r>
    </w:p>
    <w:p>
      <w:pPr>
        <w:jc w:val="center"/>
        <w:rPr>
          <w:rFonts w:ascii="黑体" w:eastAsia="黑体" w:cs="黑体"/>
          <w:color w:val="000000"/>
          <w:kern w:val="0"/>
          <w:sz w:val="84"/>
          <w:szCs w:val="84"/>
        </w:rPr>
      </w:pPr>
    </w:p>
    <w:p>
      <w:pPr>
        <w:jc w:val="center"/>
        <w:rPr>
          <w:rFonts w:ascii="黑体" w:eastAsia="黑体" w:cs="黑体"/>
          <w:color w:val="000000"/>
          <w:kern w:val="0"/>
          <w:sz w:val="84"/>
          <w:szCs w:val="84"/>
        </w:rPr>
      </w:pPr>
      <w:r>
        <w:rPr>
          <w:rFonts w:hint="eastAsia" w:ascii="黑体" w:eastAsia="黑体" w:cs="黑体"/>
          <w:color w:val="000000"/>
          <w:kern w:val="0"/>
          <w:sz w:val="84"/>
          <w:szCs w:val="84"/>
        </w:rPr>
        <w:t>部门决算表</w:t>
      </w:r>
    </w:p>
    <w:p>
      <w:pPr>
        <w:jc w:val="left"/>
        <w:rPr>
          <w:rFonts w:ascii="黑体" w:eastAsia="黑体" w:cs="黑体"/>
          <w:color w:val="000000"/>
          <w:kern w:val="0"/>
          <w:sz w:val="84"/>
          <w:szCs w:val="84"/>
        </w:rPr>
        <w:sectPr>
          <w:pgSz w:w="11906" w:h="16838"/>
          <w:pgMar w:top="873" w:right="1080" w:bottom="873" w:left="1080" w:header="851" w:footer="992" w:gutter="0"/>
          <w:cols w:space="425" w:num="1"/>
          <w:docGrid w:type="lines" w:linePitch="312" w:charSpace="0"/>
        </w:sectPr>
      </w:pPr>
    </w:p>
    <w:p>
      <w:pPr>
        <w:jc w:val="center"/>
        <w:rPr>
          <w:rFonts w:ascii="黑体" w:hAnsi="黑体" w:eastAsia="黑体"/>
          <w:sz w:val="28"/>
          <w:szCs w:val="28"/>
        </w:rPr>
      </w:pPr>
      <w:r>
        <w:rPr>
          <w:rFonts w:ascii="宋体" w:hAnsi="宋体" w:eastAsia="宋体" w:cs="宋体"/>
          <w:sz w:val="24"/>
          <w:szCs w:val="24"/>
        </w:rPr>
        <w:drawing>
          <wp:inline distT="0" distB="0" distL="114300" distR="114300">
            <wp:extent cx="8905875" cy="6782435"/>
            <wp:effectExtent l="0" t="0" r="9525" b="18415"/>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6" cstate="print"/>
                    <a:stretch>
                      <a:fillRect/>
                    </a:stretch>
                  </pic:blipFill>
                  <pic:spPr>
                    <a:xfrm>
                      <a:off x="0" y="0"/>
                      <a:ext cx="8905875" cy="6782435"/>
                    </a:xfrm>
                    <a:prstGeom prst="rect">
                      <a:avLst/>
                    </a:prstGeom>
                    <a:noFill/>
                    <a:ln w="9525">
                      <a:noFill/>
                    </a:ln>
                  </pic:spPr>
                </pic:pic>
              </a:graphicData>
            </a:graphic>
          </wp:inline>
        </w:drawing>
      </w:r>
    </w:p>
    <w:p>
      <w:pPr>
        <w:jc w:val="center"/>
        <w:rPr>
          <w:rFonts w:ascii="黑体" w:hAnsi="黑体" w:eastAsia="黑体"/>
          <w:sz w:val="28"/>
          <w:szCs w:val="28"/>
        </w:rPr>
      </w:pPr>
      <w:r>
        <w:rPr>
          <w:rFonts w:hint="eastAsia" w:ascii="黑体" w:hAnsi="黑体" w:eastAsia="黑体"/>
          <w:sz w:val="28"/>
          <w:szCs w:val="28"/>
        </w:rPr>
        <w:drawing>
          <wp:inline distT="0" distB="0" distL="114300" distR="114300">
            <wp:extent cx="8153400" cy="4457700"/>
            <wp:effectExtent l="0" t="0" r="0" b="0"/>
            <wp:docPr id="2" name="图片 2" descr="]CHB7ZPVAY1ONB8FR2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HB7ZPVAY1ONB8FR2L]E~T"/>
                    <pic:cNvPicPr>
                      <a:picLocks noChangeAspect="1"/>
                    </pic:cNvPicPr>
                  </pic:nvPicPr>
                  <pic:blipFill>
                    <a:blip r:embed="rId7" cstate="print"/>
                    <a:stretch>
                      <a:fillRect/>
                    </a:stretch>
                  </pic:blipFill>
                  <pic:spPr>
                    <a:xfrm>
                      <a:off x="0" y="0"/>
                      <a:ext cx="8153400" cy="4457700"/>
                    </a:xfrm>
                    <a:prstGeom prst="rect">
                      <a:avLst/>
                    </a:prstGeom>
                  </pic:spPr>
                </pic:pic>
              </a:graphicData>
            </a:graphic>
          </wp:inline>
        </w:drawing>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r>
        <w:rPr>
          <w:rFonts w:hint="eastAsia" w:ascii="黑体" w:hAnsi="黑体" w:eastAsia="黑体"/>
          <w:sz w:val="28"/>
          <w:szCs w:val="28"/>
        </w:rPr>
        <w:drawing>
          <wp:inline distT="0" distB="0" distL="114300" distR="114300">
            <wp:extent cx="7391400" cy="4419600"/>
            <wp:effectExtent l="0" t="0" r="0" b="0"/>
            <wp:docPr id="3" name="图片 3" descr="A6V6[7PD{_R}OQLQZ9LXI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6V6[7PD{_R}OQLQZ9LXIJW"/>
                    <pic:cNvPicPr>
                      <a:picLocks noChangeAspect="1"/>
                    </pic:cNvPicPr>
                  </pic:nvPicPr>
                  <pic:blipFill>
                    <a:blip r:embed="rId8" cstate="print"/>
                    <a:stretch>
                      <a:fillRect/>
                    </a:stretch>
                  </pic:blipFill>
                  <pic:spPr>
                    <a:xfrm>
                      <a:off x="0" y="0"/>
                      <a:ext cx="7391400" cy="4419600"/>
                    </a:xfrm>
                    <a:prstGeom prst="rect">
                      <a:avLst/>
                    </a:prstGeom>
                  </pic:spPr>
                </pic:pic>
              </a:graphicData>
            </a:graphic>
          </wp:inline>
        </w:drawing>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r>
        <w:rPr>
          <w:rFonts w:hint="eastAsia" w:ascii="黑体" w:hAnsi="黑体" w:eastAsia="黑体"/>
          <w:sz w:val="28"/>
          <w:szCs w:val="28"/>
        </w:rPr>
        <w:drawing>
          <wp:inline distT="0" distB="0" distL="114300" distR="114300">
            <wp:extent cx="7295515" cy="6427470"/>
            <wp:effectExtent l="0" t="0" r="635" b="11430"/>
            <wp:docPr id="4" name="图片 4" descr="EJ)7N_SZB_IMHNHMZ79~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J)7N_SZB_IMHNHMZ79~ETC"/>
                    <pic:cNvPicPr>
                      <a:picLocks noChangeAspect="1"/>
                    </pic:cNvPicPr>
                  </pic:nvPicPr>
                  <pic:blipFill>
                    <a:blip r:embed="rId9" cstate="print"/>
                    <a:stretch>
                      <a:fillRect/>
                    </a:stretch>
                  </pic:blipFill>
                  <pic:spPr>
                    <a:xfrm>
                      <a:off x="0" y="0"/>
                      <a:ext cx="7295515" cy="6427470"/>
                    </a:xfrm>
                    <a:prstGeom prst="rect">
                      <a:avLst/>
                    </a:prstGeom>
                  </pic:spPr>
                </pic:pic>
              </a:graphicData>
            </a:graphic>
          </wp:inline>
        </w:drawing>
      </w:r>
    </w:p>
    <w:p>
      <w:pPr>
        <w:jc w:val="center"/>
        <w:rPr>
          <w:rFonts w:ascii="黑体" w:hAnsi="黑体" w:eastAsia="黑体"/>
          <w:sz w:val="28"/>
          <w:szCs w:val="28"/>
        </w:rPr>
      </w:pPr>
      <w:r>
        <w:rPr>
          <w:rFonts w:hint="eastAsia" w:ascii="黑体" w:hAnsi="黑体" w:eastAsia="黑体"/>
          <w:sz w:val="28"/>
          <w:szCs w:val="28"/>
        </w:rPr>
        <w:drawing>
          <wp:inline distT="0" distB="0" distL="114300" distR="114300">
            <wp:extent cx="7553325" cy="4429125"/>
            <wp:effectExtent l="0" t="0" r="9525" b="9525"/>
            <wp:docPr id="5" name="图片 5" descr="RNVO%6)EG`HW2A}~K9[BL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RNVO%6)EG`HW2A}~K9[BLBF"/>
                    <pic:cNvPicPr>
                      <a:picLocks noChangeAspect="1"/>
                    </pic:cNvPicPr>
                  </pic:nvPicPr>
                  <pic:blipFill>
                    <a:blip r:embed="rId10" cstate="print"/>
                    <a:stretch>
                      <a:fillRect/>
                    </a:stretch>
                  </pic:blipFill>
                  <pic:spPr>
                    <a:xfrm>
                      <a:off x="0" y="0"/>
                      <a:ext cx="7553325" cy="4429125"/>
                    </a:xfrm>
                    <a:prstGeom prst="rect">
                      <a:avLst/>
                    </a:prstGeom>
                  </pic:spPr>
                </pic:pic>
              </a:graphicData>
            </a:graphic>
          </wp:inline>
        </w:drawing>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r>
        <w:rPr>
          <w:rFonts w:ascii="宋体" w:hAnsi="宋体" w:eastAsia="宋体" w:cs="宋体"/>
          <w:sz w:val="24"/>
          <w:szCs w:val="24"/>
        </w:rPr>
        <w:drawing>
          <wp:inline distT="0" distB="0" distL="114300" distR="114300">
            <wp:extent cx="9083040" cy="6116320"/>
            <wp:effectExtent l="0" t="0" r="3810" b="17780"/>
            <wp:docPr id="10"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IMG_256"/>
                    <pic:cNvPicPr>
                      <a:picLocks noChangeAspect="1"/>
                    </pic:cNvPicPr>
                  </pic:nvPicPr>
                  <pic:blipFill>
                    <a:blip r:embed="rId11" cstate="print"/>
                    <a:stretch>
                      <a:fillRect/>
                    </a:stretch>
                  </pic:blipFill>
                  <pic:spPr>
                    <a:xfrm>
                      <a:off x="0" y="0"/>
                      <a:ext cx="9083040" cy="6116320"/>
                    </a:xfrm>
                    <a:prstGeom prst="rect">
                      <a:avLst/>
                    </a:prstGeom>
                    <a:noFill/>
                    <a:ln w="9525">
                      <a:noFill/>
                    </a:ln>
                  </pic:spPr>
                </pic:pic>
              </a:graphicData>
            </a:graphic>
          </wp:inline>
        </w:drawing>
      </w:r>
    </w:p>
    <w:p>
      <w:pPr>
        <w:rPr>
          <w:rFonts w:ascii="黑体" w:hAnsi="黑体" w:eastAsia="黑体"/>
          <w:sz w:val="28"/>
          <w:szCs w:val="28"/>
        </w:rPr>
        <w:sectPr>
          <w:pgSz w:w="16838" w:h="11906" w:orient="landscape"/>
          <w:pgMar w:top="890" w:right="1440" w:bottom="890" w:left="1440" w:header="851" w:footer="992" w:gutter="0"/>
          <w:cols w:space="425" w:num="1"/>
          <w:docGrid w:type="linesAndChars" w:linePitch="312" w:charSpace="0"/>
        </w:sectPr>
      </w:pPr>
    </w:p>
    <w:p>
      <w:pPr>
        <w:widowControl/>
        <w:jc w:val="left"/>
        <w:rPr>
          <w:rFonts w:ascii="Times New Roman" w:hAnsi="Times New Roman" w:eastAsia="方正小标宋_GBK" w:cs="Times New Roman"/>
          <w:color w:val="000000"/>
          <w:kern w:val="0"/>
          <w:sz w:val="36"/>
          <w:szCs w:val="36"/>
        </w:rPr>
      </w:pPr>
      <w:bookmarkStart w:id="0" w:name="RANGE!A1:I22"/>
      <w:bookmarkEnd w:id="0"/>
    </w:p>
    <w:p>
      <w:pPr>
        <w:autoSpaceDE w:val="0"/>
        <w:autoSpaceDN w:val="0"/>
        <w:adjustRightInd w:val="0"/>
        <w:ind w:left="315" w:leftChars="150"/>
        <w:jc w:val="left"/>
      </w:pPr>
    </w:p>
    <w:p>
      <w:pPr>
        <w:autoSpaceDE w:val="0"/>
        <w:autoSpaceDN w:val="0"/>
        <w:adjustRightInd w:val="0"/>
        <w:ind w:left="315" w:leftChars="150"/>
        <w:jc w:val="left"/>
      </w:pPr>
    </w:p>
    <w:p>
      <w:pPr>
        <w:autoSpaceDE w:val="0"/>
        <w:autoSpaceDN w:val="0"/>
        <w:adjustRightInd w:val="0"/>
        <w:ind w:left="315" w:leftChars="150"/>
        <w:jc w:val="left"/>
      </w:pPr>
      <w:r>
        <w:drawing>
          <wp:inline distT="0" distB="0" distL="114300" distR="114300">
            <wp:extent cx="9020175" cy="3429000"/>
            <wp:effectExtent l="0" t="0" r="9525" b="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12"/>
                    <a:stretch>
                      <a:fillRect/>
                    </a:stretch>
                  </pic:blipFill>
                  <pic:spPr>
                    <a:xfrm>
                      <a:off x="0" y="0"/>
                      <a:ext cx="9020175" cy="3429000"/>
                    </a:xfrm>
                    <a:prstGeom prst="rect">
                      <a:avLst/>
                    </a:prstGeom>
                    <a:noFill/>
                    <a:ln>
                      <a:noFill/>
                    </a:ln>
                  </pic:spPr>
                </pic:pic>
              </a:graphicData>
            </a:graphic>
          </wp:inline>
        </w:drawing>
      </w:r>
    </w:p>
    <w:p>
      <w:pPr>
        <w:autoSpaceDE w:val="0"/>
        <w:autoSpaceDN w:val="0"/>
        <w:adjustRightInd w:val="0"/>
        <w:ind w:left="315" w:leftChars="150"/>
        <w:jc w:val="left"/>
      </w:pPr>
    </w:p>
    <w:p>
      <w:pPr>
        <w:autoSpaceDE w:val="0"/>
        <w:autoSpaceDN w:val="0"/>
        <w:adjustRightInd w:val="0"/>
        <w:ind w:left="315" w:leftChars="150"/>
        <w:jc w:val="left"/>
      </w:pPr>
    </w:p>
    <w:p>
      <w:pPr>
        <w:autoSpaceDE w:val="0"/>
        <w:autoSpaceDN w:val="0"/>
        <w:adjustRightInd w:val="0"/>
        <w:ind w:left="315" w:leftChars="150"/>
        <w:jc w:val="left"/>
      </w:pPr>
    </w:p>
    <w:p>
      <w:pPr>
        <w:autoSpaceDE w:val="0"/>
        <w:autoSpaceDN w:val="0"/>
        <w:adjustRightInd w:val="0"/>
        <w:ind w:left="315" w:leftChars="150"/>
        <w:jc w:val="left"/>
      </w:pPr>
    </w:p>
    <w:p>
      <w:pPr>
        <w:autoSpaceDE w:val="0"/>
        <w:autoSpaceDN w:val="0"/>
        <w:adjustRightInd w:val="0"/>
        <w:ind w:left="315" w:leftChars="150"/>
        <w:jc w:val="left"/>
      </w:pPr>
    </w:p>
    <w:p>
      <w:pPr>
        <w:autoSpaceDE w:val="0"/>
        <w:autoSpaceDN w:val="0"/>
        <w:adjustRightInd w:val="0"/>
        <w:ind w:left="315" w:leftChars="150"/>
        <w:jc w:val="left"/>
      </w:pPr>
    </w:p>
    <w:p>
      <w:pPr>
        <w:autoSpaceDE w:val="0"/>
        <w:autoSpaceDN w:val="0"/>
        <w:adjustRightInd w:val="0"/>
        <w:ind w:left="315" w:leftChars="150"/>
        <w:jc w:val="left"/>
      </w:pPr>
    </w:p>
    <w:p>
      <w:pPr>
        <w:autoSpaceDE w:val="0"/>
        <w:autoSpaceDN w:val="0"/>
        <w:adjustRightInd w:val="0"/>
        <w:ind w:left="315" w:leftChars="150"/>
        <w:jc w:val="left"/>
      </w:pPr>
    </w:p>
    <w:p>
      <w:pPr>
        <w:autoSpaceDE w:val="0"/>
        <w:autoSpaceDN w:val="0"/>
        <w:adjustRightInd w:val="0"/>
        <w:ind w:left="315" w:leftChars="150"/>
        <w:jc w:val="left"/>
      </w:pPr>
    </w:p>
    <w:p>
      <w:pPr>
        <w:autoSpaceDE w:val="0"/>
        <w:autoSpaceDN w:val="0"/>
        <w:adjustRightInd w:val="0"/>
        <w:ind w:left="315" w:leftChars="150"/>
        <w:jc w:val="left"/>
      </w:pPr>
    </w:p>
    <w:p>
      <w:pPr>
        <w:autoSpaceDE w:val="0"/>
        <w:autoSpaceDN w:val="0"/>
        <w:adjustRightInd w:val="0"/>
        <w:ind w:left="315" w:leftChars="15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tabs>
          <w:tab w:val="left" w:pos="3157"/>
        </w:tabs>
        <w:bidi w:val="0"/>
        <w:jc w:val="left"/>
        <w:rPr>
          <w:rFonts w:hint="eastAsia" w:eastAsiaTheme="minorEastAsia"/>
          <w:lang w:eastAsia="zh-CN"/>
        </w:rPr>
      </w:pPr>
    </w:p>
    <w:p>
      <w:pPr>
        <w:tabs>
          <w:tab w:val="left" w:pos="3157"/>
        </w:tabs>
        <w:bidi w:val="0"/>
        <w:jc w:val="left"/>
      </w:pPr>
      <w:r>
        <w:drawing>
          <wp:inline distT="0" distB="0" distL="114300" distR="114300">
            <wp:extent cx="9776460" cy="3987165"/>
            <wp:effectExtent l="0" t="0" r="15240" b="13335"/>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13"/>
                    <a:stretch>
                      <a:fillRect/>
                    </a:stretch>
                  </pic:blipFill>
                  <pic:spPr>
                    <a:xfrm>
                      <a:off x="0" y="0"/>
                      <a:ext cx="9776460" cy="3987165"/>
                    </a:xfrm>
                    <a:prstGeom prst="rect">
                      <a:avLst/>
                    </a:prstGeom>
                    <a:noFill/>
                    <a:ln>
                      <a:noFill/>
                    </a:ln>
                  </pic:spPr>
                </pic:pic>
              </a:graphicData>
            </a:graphic>
          </wp:inline>
        </w:drawing>
      </w:r>
    </w:p>
    <w:p>
      <w:pPr>
        <w:tabs>
          <w:tab w:val="left" w:pos="3157"/>
        </w:tabs>
        <w:bidi w:val="0"/>
        <w:jc w:val="left"/>
      </w:pPr>
    </w:p>
    <w:p>
      <w:pPr>
        <w:tabs>
          <w:tab w:val="left" w:pos="3157"/>
        </w:tabs>
        <w:bidi w:val="0"/>
        <w:jc w:val="left"/>
      </w:pPr>
    </w:p>
    <w:p>
      <w:pPr>
        <w:tabs>
          <w:tab w:val="left" w:pos="3157"/>
        </w:tabs>
        <w:bidi w:val="0"/>
        <w:jc w:val="left"/>
      </w:pPr>
    </w:p>
    <w:p>
      <w:pPr>
        <w:tabs>
          <w:tab w:val="left" w:pos="3157"/>
        </w:tabs>
        <w:bidi w:val="0"/>
        <w:jc w:val="left"/>
      </w:pPr>
    </w:p>
    <w:p>
      <w:pPr>
        <w:tabs>
          <w:tab w:val="left" w:pos="3157"/>
        </w:tabs>
        <w:bidi w:val="0"/>
        <w:jc w:val="left"/>
      </w:pPr>
    </w:p>
    <w:p>
      <w:pPr>
        <w:tabs>
          <w:tab w:val="left" w:pos="3157"/>
        </w:tabs>
        <w:bidi w:val="0"/>
        <w:jc w:val="left"/>
      </w:pPr>
    </w:p>
    <w:p>
      <w:pPr>
        <w:tabs>
          <w:tab w:val="left" w:pos="3157"/>
        </w:tabs>
        <w:bidi w:val="0"/>
        <w:jc w:val="left"/>
      </w:pPr>
    </w:p>
    <w:p>
      <w:pPr>
        <w:tabs>
          <w:tab w:val="left" w:pos="3157"/>
        </w:tabs>
        <w:bidi w:val="0"/>
        <w:jc w:val="left"/>
      </w:pPr>
    </w:p>
    <w:p>
      <w:pPr>
        <w:tabs>
          <w:tab w:val="left" w:pos="3157"/>
        </w:tabs>
        <w:bidi w:val="0"/>
        <w:jc w:val="left"/>
      </w:pPr>
    </w:p>
    <w:p>
      <w:pPr>
        <w:tabs>
          <w:tab w:val="left" w:pos="3157"/>
        </w:tabs>
        <w:bidi w:val="0"/>
        <w:jc w:val="left"/>
      </w:pPr>
    </w:p>
    <w:p>
      <w:pPr>
        <w:tabs>
          <w:tab w:val="left" w:pos="3157"/>
        </w:tabs>
        <w:bidi w:val="0"/>
        <w:jc w:val="left"/>
      </w:pPr>
    </w:p>
    <w:p>
      <w:pPr>
        <w:tabs>
          <w:tab w:val="left" w:pos="3157"/>
        </w:tabs>
        <w:bidi w:val="0"/>
        <w:jc w:val="left"/>
      </w:pPr>
    </w:p>
    <w:p>
      <w:pPr>
        <w:tabs>
          <w:tab w:val="left" w:pos="3157"/>
        </w:tabs>
        <w:bidi w:val="0"/>
        <w:jc w:val="left"/>
      </w:pPr>
    </w:p>
    <w:p>
      <w:pPr>
        <w:tabs>
          <w:tab w:val="left" w:pos="3157"/>
        </w:tabs>
        <w:bidi w:val="0"/>
        <w:jc w:val="left"/>
      </w:pPr>
    </w:p>
    <w:p>
      <w:pPr>
        <w:tabs>
          <w:tab w:val="left" w:pos="3157"/>
        </w:tabs>
        <w:bidi w:val="0"/>
        <w:jc w:val="left"/>
      </w:pPr>
    </w:p>
    <w:p>
      <w:pPr>
        <w:tabs>
          <w:tab w:val="left" w:pos="3157"/>
        </w:tabs>
        <w:bidi w:val="0"/>
        <w:jc w:val="left"/>
      </w:pPr>
      <w:r>
        <w:drawing>
          <wp:inline distT="0" distB="0" distL="114300" distR="114300">
            <wp:extent cx="9771380" cy="3616960"/>
            <wp:effectExtent l="0" t="0" r="1270" b="254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14"/>
                    <a:stretch>
                      <a:fillRect/>
                    </a:stretch>
                  </pic:blipFill>
                  <pic:spPr>
                    <a:xfrm>
                      <a:off x="0" y="0"/>
                      <a:ext cx="9771380" cy="3616960"/>
                    </a:xfrm>
                    <a:prstGeom prst="rect">
                      <a:avLst/>
                    </a:prstGeom>
                    <a:noFill/>
                    <a:ln>
                      <a:noFill/>
                    </a:ln>
                  </pic:spPr>
                </pic:pic>
              </a:graphicData>
            </a:graphic>
          </wp:inline>
        </w:drawing>
      </w:r>
    </w:p>
    <w:p>
      <w:pPr>
        <w:tabs>
          <w:tab w:val="left" w:pos="3157"/>
        </w:tabs>
        <w:bidi w:val="0"/>
        <w:jc w:val="left"/>
      </w:pPr>
    </w:p>
    <w:p>
      <w:pPr>
        <w:tabs>
          <w:tab w:val="left" w:pos="3157"/>
        </w:tabs>
        <w:bidi w:val="0"/>
        <w:jc w:val="left"/>
        <w:rPr>
          <w:rFonts w:hint="eastAsia"/>
          <w:lang w:eastAsia="zh-CN"/>
        </w:rPr>
        <w:sectPr>
          <w:pgSz w:w="16838" w:h="11906" w:orient="landscape"/>
          <w:pgMar w:top="550" w:right="720" w:bottom="550" w:left="720" w:header="851" w:footer="992" w:gutter="0"/>
          <w:cols w:space="425" w:num="1"/>
          <w:docGrid w:type="lines" w:linePitch="312" w:charSpace="0"/>
        </w:sect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第三部分</w:t>
      </w:r>
    </w:p>
    <w:p>
      <w:pPr>
        <w:pStyle w:val="12"/>
        <w:jc w:val="center"/>
        <w:rPr>
          <w:sz w:val="72"/>
          <w:szCs w:val="72"/>
        </w:rPr>
      </w:pPr>
    </w:p>
    <w:p>
      <w:pPr>
        <w:pStyle w:val="12"/>
        <w:jc w:val="center"/>
        <w:rPr>
          <w:sz w:val="70"/>
          <w:szCs w:val="70"/>
        </w:rPr>
      </w:pPr>
      <w:r>
        <w:rPr>
          <w:sz w:val="70"/>
          <w:szCs w:val="70"/>
        </w:rPr>
        <w:t>20</w:t>
      </w:r>
      <w:r>
        <w:rPr>
          <w:rFonts w:hint="eastAsia"/>
          <w:sz w:val="70"/>
          <w:szCs w:val="70"/>
        </w:rPr>
        <w:t>21年度部门决算情况说明</w:t>
      </w:r>
    </w:p>
    <w:p>
      <w:pPr>
        <w:pStyle w:val="12"/>
        <w:jc w:val="center"/>
        <w:rPr>
          <w:sz w:val="70"/>
          <w:szCs w:val="70"/>
        </w:rPr>
      </w:pPr>
    </w:p>
    <w:p>
      <w:pPr>
        <w:pStyle w:val="12"/>
        <w:jc w:val="center"/>
        <w:rPr>
          <w:sz w:val="70"/>
          <w:szCs w:val="70"/>
        </w:rPr>
      </w:pPr>
    </w:p>
    <w:p>
      <w:pPr>
        <w:pStyle w:val="12"/>
        <w:jc w:val="center"/>
        <w:rPr>
          <w:sz w:val="70"/>
          <w:szCs w:val="70"/>
        </w:rPr>
      </w:pPr>
    </w:p>
    <w:p>
      <w:pPr>
        <w:pStyle w:val="12"/>
        <w:jc w:val="center"/>
        <w:rPr>
          <w:sz w:val="70"/>
          <w:szCs w:val="70"/>
        </w:rPr>
      </w:pPr>
    </w:p>
    <w:p>
      <w:pPr>
        <w:pStyle w:val="12"/>
        <w:jc w:val="center"/>
        <w:rPr>
          <w:sz w:val="70"/>
          <w:szCs w:val="70"/>
        </w:rPr>
      </w:pPr>
    </w:p>
    <w:p>
      <w:pPr>
        <w:pStyle w:val="12"/>
        <w:jc w:val="center"/>
        <w:rPr>
          <w:sz w:val="70"/>
          <w:szCs w:val="70"/>
        </w:rPr>
      </w:pPr>
    </w:p>
    <w:p>
      <w:pPr>
        <w:pStyle w:val="12"/>
        <w:jc w:val="center"/>
        <w:rPr>
          <w:sz w:val="70"/>
          <w:szCs w:val="70"/>
        </w:rPr>
      </w:pPr>
    </w:p>
    <w:p>
      <w:pPr>
        <w:pStyle w:val="12"/>
        <w:jc w:val="both"/>
        <w:rPr>
          <w:sz w:val="70"/>
          <w:szCs w:val="70"/>
        </w:rPr>
      </w:pPr>
    </w:p>
    <w:p>
      <w:pPr>
        <w:pStyle w:val="12"/>
        <w:jc w:val="both"/>
        <w:rPr>
          <w:sz w:val="70"/>
          <w:szCs w:val="70"/>
        </w:rPr>
      </w:pPr>
    </w:p>
    <w:p>
      <w:pPr>
        <w:pStyle w:val="12"/>
        <w:rPr>
          <w:rFonts w:hAnsi="黑体"/>
          <w:b/>
          <w:sz w:val="32"/>
          <w:szCs w:val="32"/>
        </w:rPr>
      </w:pPr>
      <w:r>
        <w:rPr>
          <w:rFonts w:hint="eastAsia" w:hAnsi="黑体"/>
          <w:b/>
          <w:sz w:val="32"/>
          <w:szCs w:val="32"/>
        </w:rPr>
        <w:t>一、收入支出决算总体情况说明</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2021年部门决算本年收入合计347.74万元（含年初结转结余-52.4万元），比上年392.44万元减少44.7万元，减少11.4%，主要原因是财政拨款减少；总支出347.74万元，比上年392.44万元减少44.7万元，减少11.4%；主要是因为财政拨款收入减少。</w:t>
      </w:r>
    </w:p>
    <w:p>
      <w:pPr>
        <w:pStyle w:val="12"/>
        <w:rPr>
          <w:rFonts w:hAnsi="黑体"/>
          <w:b/>
          <w:sz w:val="32"/>
          <w:szCs w:val="32"/>
        </w:rPr>
      </w:pPr>
      <w:r>
        <w:rPr>
          <w:rFonts w:hint="eastAsia" w:hAnsi="黑体"/>
          <w:b/>
          <w:sz w:val="32"/>
          <w:szCs w:val="32"/>
        </w:rPr>
        <w:t>二、收入决算情况说明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2021年度收入合计400.14万元，其中：财政拨款收入347.74万元，占86.90%；上级补助收入0万元，占0%；事业收入0万元，占0%；经营收入52.4万元，占13.1%；附属单位上缴收入0万元，占0%；其他收入0万元，占0%。</w:t>
      </w:r>
    </w:p>
    <w:p>
      <w:pPr>
        <w:pStyle w:val="12"/>
        <w:rPr>
          <w:rFonts w:hAnsi="黑体"/>
          <w:b/>
          <w:sz w:val="32"/>
          <w:szCs w:val="32"/>
        </w:rPr>
      </w:pPr>
      <w:r>
        <w:rPr>
          <w:rFonts w:hint="eastAsia" w:hAnsi="黑体"/>
          <w:b/>
          <w:sz w:val="32"/>
          <w:szCs w:val="32"/>
        </w:rPr>
        <w:t>三、支出决算情况说明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2021年度支出合计347.74万元，其中：基本支出347.74万元，占100%；项目支出0万元，占0%；上缴上级支出0万元，占0%；经营支出0万元，占0%；对附属单位补助支出0万元，占0%。</w:t>
      </w:r>
    </w:p>
    <w:p>
      <w:pPr>
        <w:pStyle w:val="12"/>
        <w:rPr>
          <w:rFonts w:hAnsi="黑体"/>
          <w:b/>
          <w:sz w:val="32"/>
          <w:szCs w:val="32"/>
        </w:rPr>
      </w:pPr>
      <w:r>
        <w:rPr>
          <w:rFonts w:hint="eastAsia" w:hAnsi="黑体"/>
          <w:b/>
          <w:sz w:val="32"/>
          <w:szCs w:val="32"/>
        </w:rPr>
        <w:t>四、财政拨款收入支出决算总体情况说明</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2021年度财政拨款收入总计347.74万元，与上年392.44万元相比，减少44.7万元,减少11.4%，主要是因为财政拨款减少。</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2021年度财政拨款支出总计347.74万元，与上年392.44万元相比，减少44.7万元,增长（减少）11.4%，主要是因为财政拨款减少。</w:t>
      </w:r>
    </w:p>
    <w:p>
      <w:pPr>
        <w:widowControl/>
        <w:jc w:val="left"/>
        <w:rPr>
          <w:rFonts w:ascii="黑体" w:hAnsi="黑体" w:eastAsia="黑体" w:cs="黑体"/>
          <w:b/>
          <w:color w:val="000000"/>
          <w:kern w:val="0"/>
          <w:sz w:val="32"/>
          <w:szCs w:val="32"/>
        </w:rPr>
      </w:pPr>
      <w:r>
        <w:rPr>
          <w:rFonts w:hint="eastAsia" w:ascii="黑体" w:hAnsi="黑体" w:eastAsia="黑体" w:cs="黑体"/>
          <w:b/>
          <w:color w:val="000000"/>
          <w:kern w:val="0"/>
          <w:sz w:val="32"/>
          <w:szCs w:val="32"/>
        </w:rPr>
        <w:t>五、一般公共预算财政拨款支出决算情况说明</w:t>
      </w:r>
    </w:p>
    <w:p>
      <w:pPr>
        <w:widowControl/>
        <w:spacing w:line="600" w:lineRule="exact"/>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（一）财政拨款支出决算总体情况</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2021年度财政拨款支出347.74万元，占本年支出合计的100%，与上年相比，财政拨款支出减少44.7万元，减少11.4%，主要是因为财政拨款减少。</w:t>
      </w:r>
    </w:p>
    <w:p>
      <w:pPr>
        <w:widowControl/>
        <w:spacing w:line="600" w:lineRule="exact"/>
        <w:ind w:firstLine="640" w:firstLineChars="200"/>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（二）财政拨款支出决算结构情况</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2021年度财政拨款支出347.74万元,主要用于以下方面：</w:t>
      </w:r>
      <w:r>
        <w:rPr>
          <w:rFonts w:hint="eastAsia" w:asciiTheme="minorEastAsia" w:hAnsiTheme="minorEastAsia"/>
          <w:bCs/>
          <w:color w:val="000000" w:themeColor="text1"/>
          <w:kern w:val="0"/>
          <w:sz w:val="32"/>
          <w:szCs w:val="32"/>
          <w14:textFill>
            <w14:solidFill>
              <w14:schemeClr w14:val="tx1"/>
            </w14:solidFill>
          </w14:textFill>
        </w:rPr>
        <w:t>社会保障和就业支出（类）</w:t>
      </w:r>
      <w:r>
        <w:rPr>
          <w:rFonts w:hint="eastAsia" w:asciiTheme="minorEastAsia" w:hAnsiTheme="minorEastAsia"/>
          <w:bCs/>
          <w:kern w:val="0"/>
          <w:sz w:val="32"/>
          <w:szCs w:val="32"/>
        </w:rPr>
        <w:t>支出86.4万元，占24.85%；</w:t>
      </w:r>
      <w:r>
        <w:rPr>
          <w:rFonts w:hint="eastAsia" w:asciiTheme="minorEastAsia" w:hAnsiTheme="minorEastAsia"/>
          <w:bCs/>
          <w:color w:val="000000" w:themeColor="text1"/>
          <w:kern w:val="0"/>
          <w:sz w:val="32"/>
          <w:szCs w:val="32"/>
          <w14:textFill>
            <w14:solidFill>
              <w14:schemeClr w14:val="tx1"/>
            </w14:solidFill>
          </w14:textFill>
        </w:rPr>
        <w:t>资源勘探工业信息等支出（类）</w:t>
      </w:r>
      <w:r>
        <w:rPr>
          <w:rFonts w:hint="eastAsia" w:asciiTheme="minorEastAsia" w:hAnsiTheme="minorEastAsia"/>
          <w:bCs/>
          <w:kern w:val="0"/>
          <w:sz w:val="32"/>
          <w:szCs w:val="32"/>
        </w:rPr>
        <w:t>支出2.6万元，占0.75%；</w:t>
      </w:r>
      <w:r>
        <w:rPr>
          <w:rFonts w:hint="eastAsia" w:asciiTheme="minorEastAsia" w:hAnsiTheme="minorEastAsia"/>
          <w:bCs/>
          <w:color w:val="000000" w:themeColor="text1"/>
          <w:kern w:val="0"/>
          <w:sz w:val="32"/>
          <w:szCs w:val="32"/>
          <w14:textFill>
            <w14:solidFill>
              <w14:schemeClr w14:val="tx1"/>
            </w14:solidFill>
          </w14:textFill>
        </w:rPr>
        <w:t>自然资源海洋气象等支出（类）支出194.74万元，占56%；住房保障支出（类）支出64万元，占18.4%</w:t>
      </w:r>
      <w:r>
        <w:rPr>
          <w:rFonts w:hint="eastAsia" w:asciiTheme="minorEastAsia" w:hAnsiTheme="minorEastAsia"/>
          <w:bCs/>
          <w:kern w:val="0"/>
          <w:sz w:val="32"/>
          <w:szCs w:val="32"/>
        </w:rPr>
        <w:t>。</w:t>
      </w:r>
    </w:p>
    <w:p>
      <w:pPr>
        <w:widowControl/>
        <w:spacing w:line="600" w:lineRule="exact"/>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（三）财政拨款支出决算具体情况</w:t>
      </w:r>
    </w:p>
    <w:p>
      <w:pPr>
        <w:widowControl/>
        <w:spacing w:line="600" w:lineRule="exact"/>
        <w:ind w:firstLine="640" w:firstLineChars="200"/>
        <w:rPr>
          <w:rFonts w:asciiTheme="minorEastAsia" w:hAnsiTheme="minorEastAsia"/>
          <w:bCs/>
          <w:color w:val="000000" w:themeColor="text1"/>
          <w:kern w:val="0"/>
          <w:sz w:val="32"/>
          <w:szCs w:val="32"/>
          <w14:textFill>
            <w14:solidFill>
              <w14:schemeClr w14:val="tx1"/>
            </w14:solidFill>
          </w14:textFill>
        </w:rPr>
      </w:pPr>
      <w:r>
        <w:rPr>
          <w:rFonts w:hint="eastAsia" w:asciiTheme="minorEastAsia" w:hAnsiTheme="minorEastAsia"/>
          <w:bCs/>
          <w:color w:val="000000" w:themeColor="text1"/>
          <w:kern w:val="0"/>
          <w:sz w:val="32"/>
          <w:szCs w:val="32"/>
          <w14:textFill>
            <w14:solidFill>
              <w14:schemeClr w14:val="tx1"/>
            </w14:solidFill>
          </w14:textFill>
        </w:rPr>
        <w:t>2021年度财政拨款支出年初预算数为345.14万元，支出决算数为347.74万元，完成年初预算的100.75%，其中：</w:t>
      </w:r>
    </w:p>
    <w:p>
      <w:pPr>
        <w:ind w:firstLine="640" w:firstLineChars="200"/>
        <w:rPr>
          <w:rFonts w:asciiTheme="minorEastAsia" w:hAnsiTheme="minorEastAsia"/>
          <w:bCs/>
          <w:color w:val="000000" w:themeColor="text1"/>
          <w:kern w:val="0"/>
          <w:sz w:val="32"/>
          <w:szCs w:val="32"/>
          <w14:textFill>
            <w14:solidFill>
              <w14:schemeClr w14:val="tx1"/>
            </w14:solidFill>
          </w14:textFill>
        </w:rPr>
      </w:pPr>
      <w:r>
        <w:rPr>
          <w:rFonts w:hint="eastAsia" w:asciiTheme="minorEastAsia" w:hAnsiTheme="minorEastAsia"/>
          <w:bCs/>
          <w:color w:val="000000" w:themeColor="text1"/>
          <w:kern w:val="0"/>
          <w:sz w:val="32"/>
          <w:szCs w:val="32"/>
          <w14:textFill>
            <w14:solidFill>
              <w14:schemeClr w14:val="tx1"/>
            </w14:solidFill>
          </w14:textFill>
        </w:rPr>
        <w:t>1、社会保障和就业支出（类）行政事业单位养老支出（款）事业单位离退休（项）。</w:t>
      </w:r>
    </w:p>
    <w:p>
      <w:pPr>
        <w:ind w:firstLine="640" w:firstLineChars="200"/>
        <w:rPr>
          <w:rFonts w:asciiTheme="minorEastAsia" w:hAnsiTheme="minorEastAsia"/>
          <w:bCs/>
          <w:color w:val="000000" w:themeColor="text1"/>
          <w:kern w:val="0"/>
          <w:sz w:val="32"/>
          <w:szCs w:val="32"/>
          <w14:textFill>
            <w14:solidFill>
              <w14:schemeClr w14:val="tx1"/>
            </w14:solidFill>
          </w14:textFill>
        </w:rPr>
      </w:pPr>
      <w:r>
        <w:rPr>
          <w:rFonts w:hint="eastAsia" w:asciiTheme="minorEastAsia" w:hAnsiTheme="minorEastAsia"/>
          <w:bCs/>
          <w:color w:val="000000" w:themeColor="text1"/>
          <w:kern w:val="0"/>
          <w:sz w:val="32"/>
          <w:szCs w:val="32"/>
          <w14:textFill>
            <w14:solidFill>
              <w14:schemeClr w14:val="tx1"/>
            </w14:solidFill>
          </w14:textFill>
        </w:rPr>
        <w:t>年初预算数为21.4万元，支出决算为21.4万元，完成年初预算的100%，决算数与年初预算数一致。</w:t>
      </w:r>
    </w:p>
    <w:p>
      <w:pPr>
        <w:ind w:firstLine="640" w:firstLineChars="200"/>
        <w:rPr>
          <w:rFonts w:asciiTheme="minorEastAsia" w:hAnsiTheme="minorEastAsia"/>
          <w:bCs/>
          <w:color w:val="000000" w:themeColor="text1"/>
          <w:kern w:val="0"/>
          <w:sz w:val="32"/>
          <w:szCs w:val="32"/>
          <w14:textFill>
            <w14:solidFill>
              <w14:schemeClr w14:val="tx1"/>
            </w14:solidFill>
          </w14:textFill>
        </w:rPr>
      </w:pPr>
      <w:r>
        <w:rPr>
          <w:rFonts w:hint="eastAsia" w:asciiTheme="minorEastAsia" w:hAnsiTheme="minorEastAsia"/>
          <w:bCs/>
          <w:color w:val="000000" w:themeColor="text1"/>
          <w:kern w:val="0"/>
          <w:sz w:val="32"/>
          <w:szCs w:val="32"/>
          <w14:textFill>
            <w14:solidFill>
              <w14:schemeClr w14:val="tx1"/>
            </w14:solidFill>
          </w14:textFill>
        </w:rPr>
        <w:t>2、社会保障和就业支出（类）行政事业单位养老支出（款）机关事业单位基本养老保险缴费支出（项）。</w:t>
      </w:r>
    </w:p>
    <w:p>
      <w:pPr>
        <w:ind w:firstLine="640" w:firstLineChars="200"/>
        <w:rPr>
          <w:rFonts w:asciiTheme="minorEastAsia" w:hAnsiTheme="minorEastAsia"/>
          <w:bCs/>
          <w:color w:val="000000" w:themeColor="text1"/>
          <w:kern w:val="0"/>
          <w:sz w:val="32"/>
          <w:szCs w:val="32"/>
          <w14:textFill>
            <w14:solidFill>
              <w14:schemeClr w14:val="tx1"/>
            </w14:solidFill>
          </w14:textFill>
        </w:rPr>
      </w:pPr>
      <w:r>
        <w:rPr>
          <w:rFonts w:hint="eastAsia" w:asciiTheme="minorEastAsia" w:hAnsiTheme="minorEastAsia"/>
          <w:bCs/>
          <w:color w:val="000000" w:themeColor="text1"/>
          <w:kern w:val="0"/>
          <w:sz w:val="32"/>
          <w:szCs w:val="32"/>
          <w14:textFill>
            <w14:solidFill>
              <w14:schemeClr w14:val="tx1"/>
            </w14:solidFill>
          </w14:textFill>
        </w:rPr>
        <w:t>年初预算数为65万元，支出决算为65万元，完成年初预算的100%，决算数与年初预算数一致。</w:t>
      </w:r>
    </w:p>
    <w:p>
      <w:pPr>
        <w:ind w:firstLine="640" w:firstLineChars="200"/>
        <w:rPr>
          <w:rFonts w:asciiTheme="minorEastAsia" w:hAnsiTheme="minorEastAsia"/>
          <w:bCs/>
          <w:color w:val="000000" w:themeColor="text1"/>
          <w:kern w:val="0"/>
          <w:sz w:val="32"/>
          <w:szCs w:val="32"/>
          <w14:textFill>
            <w14:solidFill>
              <w14:schemeClr w14:val="tx1"/>
            </w14:solidFill>
          </w14:textFill>
        </w:rPr>
      </w:pPr>
      <w:r>
        <w:rPr>
          <w:rFonts w:hint="eastAsia" w:asciiTheme="minorEastAsia" w:hAnsiTheme="minorEastAsia"/>
          <w:bCs/>
          <w:color w:val="000000" w:themeColor="text1"/>
          <w:kern w:val="0"/>
          <w:sz w:val="32"/>
          <w:szCs w:val="32"/>
          <w14:textFill>
            <w14:solidFill>
              <w14:schemeClr w14:val="tx1"/>
            </w14:solidFill>
          </w14:textFill>
        </w:rPr>
        <w:t>3、资源勘探工业信息等支出（类）资源勘探开发（款）其他资源勘探业支出（项）。</w:t>
      </w:r>
    </w:p>
    <w:p>
      <w:pPr>
        <w:ind w:firstLine="640" w:firstLineChars="200"/>
        <w:rPr>
          <w:rFonts w:asciiTheme="minorEastAsia" w:hAnsiTheme="minorEastAsia"/>
          <w:bCs/>
          <w:color w:val="000000" w:themeColor="text1"/>
          <w:kern w:val="0"/>
          <w:sz w:val="32"/>
          <w:szCs w:val="32"/>
          <w14:textFill>
            <w14:solidFill>
              <w14:schemeClr w14:val="tx1"/>
            </w14:solidFill>
          </w14:textFill>
        </w:rPr>
      </w:pPr>
      <w:r>
        <w:rPr>
          <w:rFonts w:hint="eastAsia" w:asciiTheme="minorEastAsia" w:hAnsiTheme="minorEastAsia"/>
          <w:bCs/>
          <w:color w:val="000000" w:themeColor="text1"/>
          <w:kern w:val="0"/>
          <w:sz w:val="32"/>
          <w:szCs w:val="32"/>
          <w14:textFill>
            <w14:solidFill>
              <w14:schemeClr w14:val="tx1"/>
            </w14:solidFill>
          </w14:textFill>
        </w:rPr>
        <w:t>年初预算为0万元，支出决算为2.6万元，由于预算数为0，无法计算百分比</w:t>
      </w:r>
      <w:r>
        <w:rPr>
          <w:rFonts w:hint="eastAsia" w:asciiTheme="minorEastAsia" w:hAnsiTheme="minorEastAsia"/>
          <w:bCs/>
          <w:color w:val="000000" w:themeColor="text1"/>
          <w:kern w:val="0"/>
          <w:sz w:val="32"/>
          <w:szCs w:val="32"/>
          <w:lang w:eastAsia="zh-CN"/>
          <w14:textFill>
            <w14:solidFill>
              <w14:schemeClr w14:val="tx1"/>
            </w14:solidFill>
          </w14:textFill>
        </w:rPr>
        <w:t>，</w:t>
      </w:r>
      <w:bookmarkStart w:id="1" w:name="_GoBack"/>
      <w:bookmarkEnd w:id="1"/>
      <w:r>
        <w:rPr>
          <w:rFonts w:hint="eastAsia" w:asciiTheme="minorEastAsia" w:hAnsiTheme="minorEastAsia"/>
          <w:bCs/>
          <w:color w:val="000000" w:themeColor="text1"/>
          <w:kern w:val="0"/>
          <w:sz w:val="32"/>
          <w:szCs w:val="32"/>
          <w14:textFill>
            <w14:solidFill>
              <w14:schemeClr w14:val="tx1"/>
            </w14:solidFill>
          </w14:textFill>
        </w:rPr>
        <w:t>决算数大于预算数的主要原因是年中追加了财政拨款。</w:t>
      </w:r>
    </w:p>
    <w:p>
      <w:pPr>
        <w:ind w:left="105" w:leftChars="50" w:firstLine="480" w:firstLineChars="150"/>
        <w:rPr>
          <w:rFonts w:asciiTheme="minorEastAsia" w:hAnsiTheme="minorEastAsia"/>
          <w:bCs/>
          <w:color w:val="000000" w:themeColor="text1"/>
          <w:kern w:val="0"/>
          <w:sz w:val="32"/>
          <w:szCs w:val="32"/>
          <w14:textFill>
            <w14:solidFill>
              <w14:schemeClr w14:val="tx1"/>
            </w14:solidFill>
          </w14:textFill>
        </w:rPr>
      </w:pPr>
      <w:r>
        <w:rPr>
          <w:rFonts w:hint="eastAsia" w:asciiTheme="minorEastAsia" w:hAnsiTheme="minorEastAsia"/>
          <w:bCs/>
          <w:color w:val="000000" w:themeColor="text1"/>
          <w:kern w:val="0"/>
          <w:sz w:val="32"/>
          <w:szCs w:val="32"/>
          <w14:textFill>
            <w14:solidFill>
              <w14:schemeClr w14:val="tx1"/>
            </w14:solidFill>
          </w14:textFill>
        </w:rPr>
        <w:t>4、自然资源海洋气象等支出（类）自然资源事务（款）事业运行（项）。</w:t>
      </w:r>
    </w:p>
    <w:p>
      <w:pPr>
        <w:ind w:left="105" w:leftChars="50" w:firstLine="480" w:firstLineChars="150"/>
        <w:rPr>
          <w:rFonts w:asciiTheme="minorEastAsia" w:hAnsiTheme="minorEastAsia"/>
          <w:bCs/>
          <w:color w:val="000000" w:themeColor="text1"/>
          <w:kern w:val="0"/>
          <w:sz w:val="32"/>
          <w:szCs w:val="32"/>
          <w14:textFill>
            <w14:solidFill>
              <w14:schemeClr w14:val="tx1"/>
            </w14:solidFill>
          </w14:textFill>
        </w:rPr>
      </w:pPr>
      <w:r>
        <w:rPr>
          <w:rFonts w:hint="eastAsia" w:asciiTheme="minorEastAsia" w:hAnsiTheme="minorEastAsia"/>
          <w:bCs/>
          <w:color w:val="000000" w:themeColor="text1"/>
          <w:kern w:val="0"/>
          <w:sz w:val="32"/>
          <w:szCs w:val="32"/>
          <w14:textFill>
            <w14:solidFill>
              <w14:schemeClr w14:val="tx1"/>
            </w14:solidFill>
          </w14:textFill>
        </w:rPr>
        <w:t>年初预算为194.74万元，支出决算为194.74万元，完成年初预算100%，决算数与年初预算数一致。</w:t>
      </w:r>
    </w:p>
    <w:p>
      <w:pPr>
        <w:ind w:firstLine="640" w:firstLineChars="200"/>
        <w:rPr>
          <w:rFonts w:asciiTheme="minorEastAsia" w:hAnsiTheme="minorEastAsia"/>
          <w:bCs/>
          <w:color w:val="000000" w:themeColor="text1"/>
          <w:kern w:val="0"/>
          <w:sz w:val="32"/>
          <w:szCs w:val="32"/>
          <w14:textFill>
            <w14:solidFill>
              <w14:schemeClr w14:val="tx1"/>
            </w14:solidFill>
          </w14:textFill>
        </w:rPr>
      </w:pPr>
      <w:r>
        <w:rPr>
          <w:rFonts w:hint="eastAsia" w:asciiTheme="minorEastAsia" w:hAnsiTheme="minorEastAsia"/>
          <w:bCs/>
          <w:color w:val="000000" w:themeColor="text1"/>
          <w:kern w:val="0"/>
          <w:sz w:val="32"/>
          <w:szCs w:val="32"/>
          <w14:textFill>
            <w14:solidFill>
              <w14:schemeClr w14:val="tx1"/>
            </w14:solidFill>
          </w14:textFill>
        </w:rPr>
        <w:t>5、住房保障支出（类）住房改革支出（款）住房公积金（项）。</w:t>
      </w:r>
    </w:p>
    <w:p>
      <w:pPr>
        <w:ind w:firstLine="640" w:firstLineChars="200"/>
        <w:rPr>
          <w:rFonts w:asciiTheme="minorEastAsia" w:hAnsiTheme="minorEastAsia"/>
          <w:bCs/>
          <w:color w:val="000000" w:themeColor="text1"/>
          <w:kern w:val="0"/>
          <w:sz w:val="32"/>
          <w:szCs w:val="32"/>
          <w14:textFill>
            <w14:solidFill>
              <w14:schemeClr w14:val="tx1"/>
            </w14:solidFill>
          </w14:textFill>
        </w:rPr>
      </w:pPr>
      <w:r>
        <w:rPr>
          <w:rFonts w:hint="eastAsia" w:asciiTheme="minorEastAsia" w:hAnsiTheme="minorEastAsia"/>
          <w:bCs/>
          <w:color w:val="000000" w:themeColor="text1"/>
          <w:kern w:val="0"/>
          <w:sz w:val="32"/>
          <w:szCs w:val="32"/>
          <w14:textFill>
            <w14:solidFill>
              <w14:schemeClr w14:val="tx1"/>
            </w14:solidFill>
          </w14:textFill>
        </w:rPr>
        <w:t>年初预算64万元，支出决算为64万元，完成年初预算100%，决算数与年初预算数一致。</w:t>
      </w:r>
    </w:p>
    <w:p>
      <w:pPr>
        <w:pStyle w:val="12"/>
        <w:rPr>
          <w:rFonts w:hAnsi="黑体"/>
          <w:b/>
          <w:sz w:val="32"/>
          <w:szCs w:val="32"/>
        </w:rPr>
      </w:pPr>
      <w:r>
        <w:rPr>
          <w:rFonts w:hint="eastAsia" w:hAnsi="黑体"/>
          <w:b/>
          <w:sz w:val="32"/>
          <w:szCs w:val="32"/>
        </w:rPr>
        <w:t>六、一般公共预算财政拨款基本支出决算情况说明</w:t>
      </w:r>
    </w:p>
    <w:p>
      <w:pPr>
        <w:widowControl/>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2021年度财政拨款基本支出347.74万元，其中：人员经费343.14万元，占基本支出的98.68%,主要包括基本工资、机关事业单位养老保险、住房公积金、生活补助等；公用经费4.6万元，占基本支出的1.32%，主要包括办公费和其他商品和服务支出。</w:t>
      </w:r>
    </w:p>
    <w:p>
      <w:pPr>
        <w:pStyle w:val="12"/>
        <w:rPr>
          <w:rFonts w:hAnsi="黑体"/>
          <w:b/>
          <w:sz w:val="32"/>
          <w:szCs w:val="32"/>
        </w:rPr>
      </w:pPr>
      <w:r>
        <w:rPr>
          <w:rFonts w:hint="eastAsia" w:hAnsi="黑体"/>
          <w:b/>
          <w:sz w:val="32"/>
          <w:szCs w:val="32"/>
        </w:rPr>
        <w:t>七、一般公共预算财政拨款“三公”经费支出决算情况说明</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2021年度“三公”经费财政拨款支出预算为0万元，支出决算为0万元，由于预算数为0，无法计算百分比，其中：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因公出国（境）费支出预算为0万元，支出决算为0万元，由于预算数为0，无法计算百分比，决算数等于预算数的主要原因是本单位无因公出国（境）费支出，与上年一致。</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公务接待费支出预算为0万元，支出决算为0万元，由于预算数为0，无法计算百分比，决算数等于预算数的主要原因是本单位无公务接待费支出，与上年一致。</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公务用车购置费支出预算为0万元，支出决算为0万元，由于预算数为0，无法计算百分比，决算数等于预算数的主要原因是本单位无公务用车购置费支出，与上年一致。</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公务用车运行维护费支出预算为0万元，支出决算为0万元，由于预算数为0，无法计算百分比，决算数等于预算数的主要原因是本单位无公务用车运行维护费支出，与上年一致。</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2021年度“三公”经费财政拨款支出决算中，公务接待费支出决算0万元，因公出国（境）费支出决算0万元，公务用车购置费及运行维护费支出决算0万元。其中：</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2、公务接待费支出决算为0万元，全年共接待来访团组0个、来宾0人次。</w:t>
      </w:r>
    </w:p>
    <w:p>
      <w:pPr>
        <w:ind w:firstLine="640" w:firstLineChars="200"/>
        <w:rPr>
          <w:rFonts w:asciiTheme="minorEastAsia" w:hAnsiTheme="minorEastAsia"/>
          <w:sz w:val="32"/>
          <w:szCs w:val="32"/>
        </w:rPr>
      </w:pPr>
      <w:r>
        <w:rPr>
          <w:rFonts w:hint="eastAsia" w:asciiTheme="minorEastAsia" w:hAnsiTheme="minorEastAsia"/>
          <w:sz w:val="32"/>
          <w:szCs w:val="32"/>
        </w:rPr>
        <w:t>3、公务用车购置费及运行维护费支出决算为0万元，其中：公务用车购置费0万元，更新公务用车0辆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公务用车运行维护费0万元，截止2021年12月31日，我单位开支财政拨款的公务用车保有量为0辆。</w:t>
      </w:r>
    </w:p>
    <w:p>
      <w:pPr>
        <w:pStyle w:val="12"/>
        <w:rPr>
          <w:rFonts w:hAnsi="黑体"/>
          <w:b/>
          <w:sz w:val="32"/>
          <w:szCs w:val="32"/>
        </w:rPr>
      </w:pPr>
      <w:r>
        <w:rPr>
          <w:rFonts w:hint="eastAsia" w:hAnsi="黑体"/>
          <w:b/>
          <w:sz w:val="32"/>
          <w:szCs w:val="32"/>
        </w:rPr>
        <w:t>八、政府性基金预算收入支出决算情况</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2"/>
        <w:numPr>
          <w:ilvl w:val="0"/>
          <w:numId w:val="2"/>
        </w:numPr>
        <w:rPr>
          <w:rFonts w:hAnsi="黑体"/>
          <w:b/>
          <w:sz w:val="32"/>
          <w:szCs w:val="32"/>
        </w:rPr>
      </w:pPr>
      <w:r>
        <w:rPr>
          <w:rFonts w:hint="eastAsia" w:hAnsi="黑体"/>
          <w:b/>
          <w:sz w:val="32"/>
          <w:szCs w:val="32"/>
        </w:rPr>
        <w:t>机关运行经费支出说明</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万元，比年初预算数增加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2"/>
        <w:rPr>
          <w:rFonts w:hAnsi="黑体"/>
          <w:b/>
          <w:sz w:val="32"/>
          <w:szCs w:val="32"/>
        </w:rPr>
      </w:pPr>
      <w:r>
        <w:rPr>
          <w:rFonts w:hint="eastAsia" w:hAnsi="黑体"/>
          <w:b/>
          <w:sz w:val="32"/>
          <w:szCs w:val="32"/>
        </w:rPr>
        <w:t>十、一般性支出情况说明</w:t>
      </w:r>
    </w:p>
    <w:p>
      <w:pPr>
        <w:pStyle w:val="12"/>
        <w:ind w:firstLine="640" w:firstLineChars="200"/>
        <w:rPr>
          <w:rFonts w:hAnsi="黑体"/>
          <w:b/>
          <w:sz w:val="32"/>
          <w:szCs w:val="32"/>
          <w:highlight w:val="yellow"/>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未</w:t>
      </w:r>
      <w:r>
        <w:rPr>
          <w:rFonts w:hint="eastAsia" w:asciiTheme="minorEastAsia" w:hAnsiTheme="minorEastAsia" w:eastAsiaTheme="minorEastAsia"/>
          <w:sz w:val="32"/>
          <w:szCs w:val="32"/>
        </w:rPr>
        <w:t>举办节庆、晚会、论坛、赛事活动，开支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2"/>
        <w:numPr>
          <w:ilvl w:val="0"/>
          <w:numId w:val="2"/>
        </w:numPr>
        <w:rPr>
          <w:rFonts w:hAnsi="黑体"/>
          <w:b/>
          <w:sz w:val="32"/>
          <w:szCs w:val="32"/>
        </w:rPr>
      </w:pPr>
      <w:r>
        <w:rPr>
          <w:rFonts w:hint="eastAsia" w:hAnsi="黑体"/>
          <w:b/>
          <w:sz w:val="32"/>
          <w:szCs w:val="32"/>
        </w:rPr>
        <w:t>政府采购支出说明</w:t>
      </w:r>
    </w:p>
    <w:p>
      <w:pPr>
        <w:pStyle w:val="12"/>
        <w:ind w:firstLine="640" w:firstLineChars="20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highlight w:val="none"/>
        </w:rPr>
        <w:t>本部门202</w:t>
      </w:r>
      <w:r>
        <w:rPr>
          <w:rFonts w:hint="eastAsia" w:asciiTheme="minorEastAsia" w:hAnsiTheme="minorEastAsia" w:eastAsiaTheme="minorEastAsia"/>
          <w:sz w:val="32"/>
          <w:szCs w:val="32"/>
          <w:highlight w:val="none"/>
          <w:lang w:val="en-US" w:eastAsia="zh-CN"/>
        </w:rPr>
        <w:t>1</w:t>
      </w:r>
      <w:r>
        <w:rPr>
          <w:rFonts w:hint="eastAsia" w:asciiTheme="minorEastAsia" w:hAnsiTheme="minorEastAsia" w:eastAsiaTheme="minorEastAsia"/>
          <w:sz w:val="32"/>
          <w:szCs w:val="32"/>
          <w:highlight w:val="none"/>
        </w:rPr>
        <w:t>年度政府采购支出总额0万元，</w:t>
      </w:r>
      <w:r>
        <w:rPr>
          <w:rFonts w:hint="eastAsia" w:asciiTheme="minorEastAsia" w:hAnsiTheme="minorEastAsia" w:eastAsiaTheme="minorEastAsia"/>
          <w:sz w:val="32"/>
          <w:szCs w:val="32"/>
          <w:highlight w:val="none"/>
          <w:lang w:eastAsia="zh-CN"/>
        </w:rPr>
        <w:t>与上年持平。</w:t>
      </w:r>
      <w:r>
        <w:rPr>
          <w:rFonts w:hint="eastAsia" w:asciiTheme="minorEastAsia" w:hAnsiTheme="minorEastAsia" w:eastAsiaTheme="minorEastAsia"/>
          <w:sz w:val="32"/>
          <w:szCs w:val="32"/>
          <w:highlight w:val="none"/>
        </w:rPr>
        <w:t>其中：政府采购货物支出0 万元、政府采购工程支出0万元、政府采购服务支出0万元。授予中小企业合同金额0万元，占政府采购支出总额的0%，其中：授予小微企业合同金额0万元，占政府采购支出总额的0%。货物采购授予中小企业合同金额占货物支出金额的0%，工程采购授予中小企业合同金额占工程支出金额的0%，服务采购授予中小企业合同金额占服务支出金额的0%。</w:t>
      </w:r>
    </w:p>
    <w:p>
      <w:pPr>
        <w:pStyle w:val="12"/>
        <w:rPr>
          <w:rFonts w:hAnsi="黑体"/>
          <w:b/>
          <w:sz w:val="32"/>
          <w:szCs w:val="32"/>
        </w:rPr>
      </w:pPr>
      <w:r>
        <w:rPr>
          <w:rFonts w:hint="eastAsia" w:hAnsi="黑体"/>
          <w:b/>
          <w:sz w:val="32"/>
          <w:szCs w:val="32"/>
        </w:rPr>
        <w:t>十二、国有资产占用情况说明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0辆，其中，主要领导干部用车0辆，机要通信用车0辆、应急保障用车0辆、执法执勤用车0辆、特种专业技术用车0辆、其他用车0辆，无其他用车；单位价值50万元以上通用设备0台（套）；单位价值100万元以上专用设备0台（套）。</w:t>
      </w:r>
    </w:p>
    <w:p>
      <w:pPr>
        <w:pStyle w:val="12"/>
        <w:rPr>
          <w:rFonts w:hAnsi="黑体"/>
          <w:b/>
          <w:sz w:val="32"/>
          <w:szCs w:val="32"/>
        </w:rPr>
      </w:pPr>
      <w:r>
        <w:rPr>
          <w:rFonts w:hint="eastAsia" w:hAnsi="黑体"/>
          <w:b/>
          <w:sz w:val="32"/>
          <w:szCs w:val="32"/>
        </w:rPr>
        <w:t>十三、2021年度预算绩效情况说明</w:t>
      </w:r>
    </w:p>
    <w:p>
      <w:pPr>
        <w:pStyle w:val="12"/>
        <w:spacing w:line="600" w:lineRule="exact"/>
        <w:ind w:firstLine="640" w:firstLineChars="200"/>
        <w:rPr>
          <w:rFonts w:asciiTheme="minorEastAsia" w:hAnsiTheme="minorEastAsia" w:eastAsiaTheme="minorEastAsia" w:cstheme="minorBidi"/>
          <w:bCs/>
          <w:color w:val="auto"/>
          <w:sz w:val="32"/>
          <w:szCs w:val="32"/>
        </w:rPr>
      </w:pPr>
      <w:r>
        <w:rPr>
          <w:rFonts w:hint="eastAsia" w:asciiTheme="minorEastAsia" w:hAnsiTheme="minorEastAsia" w:eastAsiaTheme="minorEastAsia" w:cstheme="minorBidi"/>
          <w:bCs/>
          <w:color w:val="auto"/>
          <w:sz w:val="32"/>
          <w:szCs w:val="32"/>
        </w:rPr>
        <w:t>本单位预算绩效管理开展情况、绩效目标和绩效评价报告等已由上级单位汇总公开，本次随部门决算一同公开。</w:t>
      </w:r>
    </w:p>
    <w:p>
      <w:pPr>
        <w:pStyle w:val="12"/>
        <w:rPr>
          <w:rFonts w:hAnsi="黑体"/>
          <w:b/>
          <w:sz w:val="32"/>
          <w:szCs w:val="32"/>
        </w:rPr>
      </w:pPr>
    </w:p>
    <w:p>
      <w:pPr>
        <w:ind w:firstLine="800" w:firstLineChars="250"/>
        <w:rPr>
          <w:rFonts w:asciiTheme="minorEastAsia" w:hAnsiTheme="minorEastAsia"/>
          <w:sz w:val="32"/>
          <w:szCs w:val="32"/>
        </w:rPr>
      </w:pPr>
    </w:p>
    <w:p>
      <w:pPr>
        <w:widowControl/>
        <w:spacing w:line="600" w:lineRule="exact"/>
        <w:ind w:firstLine="640" w:firstLineChars="200"/>
        <w:rPr>
          <w:rFonts w:asciiTheme="minorEastAsia" w:hAnsiTheme="minorEastAsia"/>
          <w:sz w:val="32"/>
          <w:szCs w:val="3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ind w:firstLine="4320" w:firstLineChars="600"/>
        <w:jc w:val="both"/>
        <w:rPr>
          <w:sz w:val="72"/>
          <w:szCs w:val="72"/>
        </w:rPr>
      </w:pPr>
    </w:p>
    <w:p>
      <w:pPr>
        <w:pStyle w:val="12"/>
        <w:ind w:firstLine="4320" w:firstLineChars="600"/>
        <w:jc w:val="both"/>
        <w:rPr>
          <w:sz w:val="72"/>
          <w:szCs w:val="72"/>
        </w:rPr>
      </w:pPr>
    </w:p>
    <w:p>
      <w:pPr>
        <w:pStyle w:val="12"/>
        <w:ind w:firstLine="4320" w:firstLineChars="600"/>
        <w:jc w:val="both"/>
        <w:rPr>
          <w:sz w:val="72"/>
          <w:szCs w:val="72"/>
        </w:rPr>
      </w:pPr>
    </w:p>
    <w:p>
      <w:pPr>
        <w:pStyle w:val="12"/>
        <w:jc w:val="both"/>
        <w:rPr>
          <w:sz w:val="72"/>
          <w:szCs w:val="72"/>
        </w:rPr>
      </w:pPr>
    </w:p>
    <w:p>
      <w:pPr>
        <w:pStyle w:val="12"/>
        <w:ind w:firstLine="4320" w:firstLineChars="600"/>
        <w:jc w:val="both"/>
        <w:rPr>
          <w:sz w:val="72"/>
          <w:szCs w:val="72"/>
        </w:rPr>
      </w:pPr>
    </w:p>
    <w:p>
      <w:pPr>
        <w:pStyle w:val="12"/>
        <w:ind w:firstLine="4320" w:firstLineChars="600"/>
        <w:jc w:val="both"/>
        <w:rPr>
          <w:sz w:val="72"/>
          <w:szCs w:val="72"/>
        </w:rPr>
      </w:pPr>
    </w:p>
    <w:p>
      <w:pPr>
        <w:pStyle w:val="12"/>
        <w:ind w:firstLine="4320" w:firstLineChars="600"/>
        <w:jc w:val="both"/>
        <w:rPr>
          <w:sz w:val="72"/>
          <w:szCs w:val="72"/>
        </w:rPr>
      </w:pPr>
      <w:r>
        <w:rPr>
          <w:rFonts w:hint="eastAsia"/>
          <w:sz w:val="72"/>
          <w:szCs w:val="72"/>
        </w:rPr>
        <w:t>第四部分</w:t>
      </w:r>
    </w:p>
    <w:p>
      <w:pPr>
        <w:ind w:firstLine="4200" w:firstLineChars="600"/>
        <w:rPr>
          <w:rFonts w:ascii="黑体" w:eastAsia="黑体" w:cs="黑体"/>
          <w:color w:val="000000"/>
          <w:kern w:val="0"/>
          <w:sz w:val="70"/>
          <w:szCs w:val="70"/>
        </w:rPr>
      </w:pPr>
      <w:r>
        <w:rPr>
          <w:rFonts w:hint="eastAsia" w:ascii="黑体" w:eastAsia="黑体" w:cs="黑体"/>
          <w:color w:val="000000"/>
          <w:kern w:val="0"/>
          <w:sz w:val="70"/>
          <w:szCs w:val="70"/>
        </w:rPr>
        <w:t>名词解释</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p>
    <w:p>
      <w:pPr>
        <w:jc w:val="both"/>
        <w:rPr>
          <w:rFonts w:ascii="黑体" w:eastAsia="黑体" w:cs="黑体"/>
          <w:color w:val="000000"/>
          <w:kern w:val="0"/>
          <w:sz w:val="70"/>
          <w:szCs w:val="70"/>
        </w:rPr>
      </w:pPr>
    </w:p>
    <w:p>
      <w:pPr>
        <w:pStyle w:val="12"/>
        <w:ind w:firstLine="640" w:firstLineChars="200"/>
        <w:rPr>
          <w:rFonts w:hint="eastAsia" w:asciiTheme="minorEastAsia" w:hAnsiTheme="minorEastAsia" w:eastAsiaTheme="minorEastAsia"/>
          <w:sz w:val="32"/>
          <w:szCs w:val="32"/>
          <w:lang w:eastAsia="zh-CN"/>
        </w:rPr>
      </w:pPr>
      <w:r>
        <w:rPr>
          <w:rFonts w:asciiTheme="minorEastAsia" w:hAnsiTheme="minorEastAsia" w:eastAsiaTheme="minorEastAsia"/>
          <w:sz w:val="32"/>
          <w:szCs w:val="32"/>
        </w:rPr>
        <w:t>一、基本支出：指为保障机构正常运转、完成日常工作任务发生的各项支出，包括人员支出和公用支出。</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二</w:t>
      </w:r>
      <w:r>
        <w:rPr>
          <w:rFonts w:asciiTheme="minorEastAsia" w:hAnsiTheme="minorEastAsia" w:eastAsiaTheme="minorEastAsia"/>
          <w:sz w:val="32"/>
          <w:szCs w:val="32"/>
        </w:rPr>
        <w:t>、“三公”经费：指通过财政拨款资金安排的因公出国（境）费、公务用车购置及运行费和公务接待费支出。</w:t>
      </w:r>
    </w:p>
    <w:p>
      <w:pPr>
        <w:pStyle w:val="2"/>
        <w:ind w:firstLine="640" w:firstLineChars="200"/>
        <w:rPr>
          <w:rFonts w:hint="eastAsia" w:ascii="宋体" w:hAnsi="宋体" w:cs="黑体"/>
          <w:color w:val="000000"/>
          <w:kern w:val="0"/>
          <w:sz w:val="32"/>
          <w:szCs w:val="32"/>
          <w:lang w:val="en-US" w:eastAsia="zh-CN" w:bidi="ar-SA"/>
        </w:rPr>
      </w:pPr>
      <w:r>
        <w:rPr>
          <w:rFonts w:hint="eastAsia" w:ascii="宋体" w:hAnsi="宋体" w:cs="黑体"/>
          <w:color w:val="000000"/>
          <w:kern w:val="0"/>
          <w:sz w:val="32"/>
          <w:szCs w:val="32"/>
          <w:lang w:val="en-US" w:eastAsia="zh-CN" w:bidi="ar-SA"/>
        </w:rPr>
        <w:t>三、资源勘探工业信息等支出：指用于资源勘探、制造业、建筑业、工业信息等方面支出。</w:t>
      </w:r>
    </w:p>
    <w:p>
      <w:pPr>
        <w:pStyle w:val="3"/>
        <w:ind w:left="0" w:leftChars="0" w:firstLine="640" w:firstLineChars="200"/>
        <w:rPr>
          <w:rFonts w:hint="eastAsia" w:ascii="宋体" w:hAnsi="宋体" w:cs="黑体"/>
          <w:color w:val="000000"/>
          <w:kern w:val="0"/>
          <w:sz w:val="32"/>
          <w:szCs w:val="32"/>
          <w:lang w:val="en-US" w:eastAsia="zh-CN" w:bidi="ar-SA"/>
        </w:rPr>
      </w:pPr>
      <w:r>
        <w:rPr>
          <w:rFonts w:hint="eastAsia" w:ascii="宋体" w:hAnsi="宋体" w:cs="黑体"/>
          <w:color w:val="000000"/>
          <w:kern w:val="0"/>
          <w:sz w:val="32"/>
          <w:szCs w:val="32"/>
          <w:lang w:val="en-US" w:eastAsia="zh-CN" w:bidi="ar-SA"/>
        </w:rPr>
        <w:t>四、自然资源海洋气象等支出：指政府用于自然资源、海洋、测绘、气象等公益服务事业方面的支出。</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both"/>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center"/>
        <w:rPr>
          <w:rFonts w:ascii="黑体" w:hAnsi="黑体" w:eastAsia="黑体" w:cs="黑体"/>
          <w:color w:val="000000"/>
          <w:kern w:val="0"/>
          <w:sz w:val="48"/>
          <w:szCs w:val="48"/>
        </w:rPr>
      </w:pPr>
      <w:r>
        <w:rPr>
          <w:rFonts w:ascii="黑体" w:eastAsia="黑体" w:cs="黑体"/>
          <w:color w:val="000000"/>
          <w:kern w:val="0"/>
          <w:sz w:val="70"/>
          <w:szCs w:val="70"/>
        </w:rPr>
        <w:br w:type="page"/>
      </w:r>
      <w:r>
        <w:rPr>
          <w:rFonts w:hint="eastAsia" w:ascii="黑体" w:hAnsi="黑体" w:eastAsia="黑体"/>
          <w:b/>
          <w:sz w:val="48"/>
          <w:szCs w:val="48"/>
        </w:rPr>
        <w:t>湖南省核工业地质局探矿技术研究所</w:t>
      </w:r>
    </w:p>
    <w:p>
      <w:pPr>
        <w:spacing w:line="360" w:lineRule="auto"/>
        <w:jc w:val="center"/>
        <w:rPr>
          <w:rFonts w:ascii="黑体" w:hAnsi="黑体" w:eastAsia="黑体"/>
          <w:b/>
          <w:sz w:val="48"/>
          <w:szCs w:val="48"/>
        </w:rPr>
      </w:pPr>
      <w:r>
        <w:rPr>
          <w:rFonts w:hint="eastAsia" w:ascii="黑体" w:hAnsi="黑体" w:eastAsia="黑体"/>
          <w:b/>
          <w:sz w:val="48"/>
          <w:szCs w:val="48"/>
        </w:rPr>
        <w:t>部门整体支出绩效报告</w:t>
      </w:r>
    </w:p>
    <w:p>
      <w:pPr>
        <w:spacing w:line="360" w:lineRule="auto"/>
        <w:rPr>
          <w:b/>
          <w:sz w:val="28"/>
          <w:szCs w:val="28"/>
        </w:rPr>
      </w:pPr>
    </w:p>
    <w:p>
      <w:pPr>
        <w:widowControl/>
        <w:spacing w:line="600" w:lineRule="exact"/>
        <w:jc w:val="left"/>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一、部门基本情况</w:t>
      </w:r>
    </w:p>
    <w:p>
      <w:pPr>
        <w:widowControl/>
        <w:spacing w:line="600" w:lineRule="exact"/>
        <w:jc w:val="left"/>
        <w:rPr>
          <w:rFonts w:asciiTheme="minorEastAsia" w:hAnsiTheme="minorEastAsia"/>
          <w:bCs/>
          <w:kern w:val="0"/>
          <w:sz w:val="32"/>
          <w:szCs w:val="32"/>
        </w:rPr>
      </w:pPr>
      <w:r>
        <w:rPr>
          <w:rFonts w:hint="eastAsia" w:asciiTheme="minorEastAsia" w:hAnsiTheme="minorEastAsia"/>
          <w:bCs/>
          <w:kern w:val="0"/>
          <w:sz w:val="32"/>
          <w:szCs w:val="32"/>
        </w:rPr>
        <w:t xml:space="preserve">    我所位于长沙市韶山北路</w:t>
      </w:r>
      <w:r>
        <w:rPr>
          <w:rFonts w:asciiTheme="minorEastAsia" w:hAnsiTheme="minorEastAsia"/>
          <w:bCs/>
          <w:kern w:val="0"/>
          <w:sz w:val="32"/>
          <w:szCs w:val="32"/>
        </w:rPr>
        <w:t>256</w:t>
      </w:r>
      <w:r>
        <w:rPr>
          <w:rFonts w:hint="eastAsia" w:asciiTheme="minorEastAsia" w:hAnsiTheme="minorEastAsia"/>
          <w:bCs/>
          <w:kern w:val="0"/>
          <w:sz w:val="32"/>
          <w:szCs w:val="32"/>
        </w:rPr>
        <w:t>号，是湖南省核工业地质局的二级事业单位，我所上级核准的机构数为1个，单位编制人数</w:t>
      </w:r>
      <w:r>
        <w:rPr>
          <w:rFonts w:asciiTheme="minorEastAsia" w:hAnsiTheme="minorEastAsia"/>
          <w:bCs/>
          <w:kern w:val="0"/>
          <w:sz w:val="32"/>
          <w:szCs w:val="32"/>
        </w:rPr>
        <w:t>45</w:t>
      </w:r>
      <w:r>
        <w:rPr>
          <w:rFonts w:hint="eastAsia" w:asciiTheme="minorEastAsia" w:hAnsiTheme="minorEastAsia"/>
          <w:bCs/>
          <w:kern w:val="0"/>
          <w:sz w:val="32"/>
          <w:szCs w:val="32"/>
        </w:rPr>
        <w:t>人，2021年末实有在职人数38人，退休9人。我所的独立编制机构数一个，主要职能是贯彻执行放射线矿产探矿规划和年度计划并组织实施，指导局属各地勘单位解决探矿技术难题，提供技术服务。重点工作计划是指导局属各地勘单位解决探矿技术难题，并提供技术服务。</w:t>
      </w:r>
    </w:p>
    <w:p>
      <w:pPr>
        <w:widowControl/>
        <w:spacing w:line="600" w:lineRule="exact"/>
        <w:jc w:val="left"/>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二、</w:t>
      </w:r>
      <w:r>
        <w:rPr>
          <w:rFonts w:ascii="Times New Roman" w:hAnsi="Times New Roman" w:eastAsia="方正小标宋_GBK" w:cs="Times New Roman"/>
          <w:color w:val="000000"/>
          <w:kern w:val="0"/>
          <w:sz w:val="36"/>
          <w:szCs w:val="36"/>
        </w:rPr>
        <w:t>一般公共预算支出情况</w:t>
      </w:r>
    </w:p>
    <w:p>
      <w:pPr>
        <w:widowControl/>
        <w:spacing w:line="600" w:lineRule="exact"/>
        <w:jc w:val="left"/>
        <w:rPr>
          <w:rFonts w:asciiTheme="minorEastAsia" w:hAnsiTheme="minorEastAsia"/>
          <w:bCs/>
          <w:kern w:val="0"/>
          <w:sz w:val="32"/>
          <w:szCs w:val="32"/>
        </w:rPr>
      </w:pPr>
      <w:r>
        <w:rPr>
          <w:rFonts w:hint="eastAsia" w:asciiTheme="minorEastAsia" w:hAnsiTheme="minorEastAsia"/>
          <w:bCs/>
          <w:kern w:val="0"/>
          <w:sz w:val="32"/>
          <w:szCs w:val="32"/>
        </w:rPr>
        <w:t xml:space="preserve">    2</w:t>
      </w:r>
      <w:r>
        <w:rPr>
          <w:rFonts w:asciiTheme="minorEastAsia" w:hAnsiTheme="minorEastAsia"/>
          <w:bCs/>
          <w:kern w:val="0"/>
          <w:sz w:val="32"/>
          <w:szCs w:val="32"/>
        </w:rPr>
        <w:t>0</w:t>
      </w:r>
      <w:r>
        <w:rPr>
          <w:rFonts w:hint="eastAsia" w:asciiTheme="minorEastAsia" w:hAnsiTheme="minorEastAsia"/>
          <w:bCs/>
          <w:kern w:val="0"/>
          <w:sz w:val="32"/>
          <w:szCs w:val="32"/>
        </w:rPr>
        <w:t>21年度收入347.74万元，本年支出347.74万元，年末结转结余0万元。</w:t>
      </w:r>
    </w:p>
    <w:p>
      <w:pPr>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工资福利支出321.74万元，对个人和家庭的补助支出21.4万元；人员经费支出合计343.14万元，商品和服务支出支出4.6万元，</w:t>
      </w:r>
      <w:r>
        <w:rPr>
          <w:rFonts w:asciiTheme="minorEastAsia" w:hAnsiTheme="minorEastAsia"/>
          <w:bCs/>
          <w:kern w:val="0"/>
          <w:sz w:val="32"/>
          <w:szCs w:val="32"/>
        </w:rPr>
        <w:t>20</w:t>
      </w:r>
      <w:r>
        <w:rPr>
          <w:rFonts w:hint="eastAsia" w:asciiTheme="minorEastAsia" w:hAnsiTheme="minorEastAsia"/>
          <w:bCs/>
          <w:kern w:val="0"/>
          <w:sz w:val="32"/>
          <w:szCs w:val="32"/>
        </w:rPr>
        <w:t>21年末的实际决算数比年初预算增加了2.6万元，主要是增加了其他商品和服务支出财政拨款，决算收支平衡。</w:t>
      </w:r>
    </w:p>
    <w:p>
      <w:pPr>
        <w:spacing w:line="600" w:lineRule="exact"/>
        <w:ind w:firstLine="800" w:firstLineChars="250"/>
        <w:rPr>
          <w:rFonts w:asciiTheme="minorEastAsia" w:hAnsiTheme="minorEastAsia"/>
          <w:bCs/>
          <w:kern w:val="0"/>
          <w:sz w:val="32"/>
          <w:szCs w:val="32"/>
        </w:rPr>
      </w:pPr>
      <w:r>
        <w:rPr>
          <w:rFonts w:hint="eastAsia" w:asciiTheme="minorEastAsia" w:hAnsiTheme="minorEastAsia"/>
          <w:bCs/>
          <w:kern w:val="0"/>
          <w:sz w:val="32"/>
          <w:szCs w:val="32"/>
        </w:rPr>
        <w:t>我所年初财政预算无三公经费，全年也未发生三公经费。</w:t>
      </w:r>
    </w:p>
    <w:p>
      <w:pPr>
        <w:widowControl/>
        <w:spacing w:line="600" w:lineRule="exact"/>
        <w:jc w:val="left"/>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三、部门专项组织实施情况</w:t>
      </w:r>
    </w:p>
    <w:p>
      <w:pPr>
        <w:spacing w:line="600" w:lineRule="exact"/>
        <w:ind w:firstLine="960" w:firstLineChars="300"/>
        <w:rPr>
          <w:rFonts w:asciiTheme="minorEastAsia" w:hAnsiTheme="minorEastAsia"/>
          <w:bCs/>
          <w:kern w:val="0"/>
          <w:sz w:val="32"/>
          <w:szCs w:val="32"/>
        </w:rPr>
      </w:pPr>
      <w:r>
        <w:rPr>
          <w:rFonts w:hint="eastAsia" w:asciiTheme="minorEastAsia" w:hAnsiTheme="minorEastAsia"/>
          <w:bCs/>
          <w:kern w:val="0"/>
          <w:sz w:val="32"/>
          <w:szCs w:val="32"/>
        </w:rPr>
        <w:t>因我所</w:t>
      </w:r>
      <w:r>
        <w:rPr>
          <w:rFonts w:asciiTheme="minorEastAsia" w:hAnsiTheme="minorEastAsia"/>
          <w:bCs/>
          <w:kern w:val="0"/>
          <w:sz w:val="32"/>
          <w:szCs w:val="32"/>
        </w:rPr>
        <w:t>20</w:t>
      </w:r>
      <w:r>
        <w:rPr>
          <w:rFonts w:hint="eastAsia" w:asciiTheme="minorEastAsia" w:hAnsiTheme="minorEastAsia"/>
          <w:bCs/>
          <w:kern w:val="0"/>
          <w:sz w:val="32"/>
          <w:szCs w:val="32"/>
        </w:rPr>
        <w:t>21年度财政未安排专项资金，故无专项资金组织实施情况。</w:t>
      </w:r>
    </w:p>
    <w:p>
      <w:pPr>
        <w:widowControl/>
        <w:spacing w:line="600" w:lineRule="exact"/>
        <w:jc w:val="left"/>
        <w:rPr>
          <w:rFonts w:ascii="Times New Roman" w:hAnsi="Times New Roman" w:eastAsia="方正小标宋_GBK" w:cs="Times New Roman"/>
          <w:b/>
          <w:color w:val="000000"/>
          <w:kern w:val="0"/>
          <w:sz w:val="36"/>
          <w:szCs w:val="36"/>
        </w:rPr>
      </w:pPr>
      <w:r>
        <w:rPr>
          <w:rFonts w:hint="eastAsia" w:ascii="Times New Roman" w:hAnsi="Times New Roman" w:eastAsia="方正小标宋_GBK" w:cs="Times New Roman"/>
          <w:color w:val="000000"/>
          <w:kern w:val="0"/>
          <w:sz w:val="36"/>
          <w:szCs w:val="36"/>
        </w:rPr>
        <w:t>四、部门整体支出绩效情况</w:t>
      </w:r>
    </w:p>
    <w:p>
      <w:pPr>
        <w:widowControl/>
        <w:spacing w:line="600" w:lineRule="exact"/>
        <w:ind w:firstLine="640" w:firstLineChars="200"/>
        <w:jc w:val="left"/>
        <w:rPr>
          <w:rFonts w:asciiTheme="minorEastAsia" w:hAnsiTheme="minorEastAsia"/>
          <w:bCs/>
          <w:kern w:val="0"/>
          <w:sz w:val="32"/>
          <w:szCs w:val="32"/>
        </w:rPr>
      </w:pPr>
      <w:r>
        <w:rPr>
          <w:rFonts w:hint="eastAsia" w:asciiTheme="minorEastAsia" w:hAnsiTheme="minorEastAsia"/>
          <w:bCs/>
          <w:kern w:val="0"/>
          <w:sz w:val="32"/>
          <w:szCs w:val="32"/>
        </w:rPr>
        <w:t>我所财政预算配置合理，财政供养人员控制率为</w:t>
      </w:r>
      <w:r>
        <w:rPr>
          <w:rFonts w:asciiTheme="minorEastAsia" w:hAnsiTheme="minorEastAsia"/>
          <w:bCs/>
          <w:kern w:val="0"/>
          <w:sz w:val="32"/>
          <w:szCs w:val="32"/>
        </w:rPr>
        <w:t>100%</w:t>
      </w:r>
      <w:r>
        <w:rPr>
          <w:rFonts w:hint="eastAsia" w:asciiTheme="minorEastAsia" w:hAnsiTheme="minorEastAsia"/>
          <w:bCs/>
          <w:kern w:val="0"/>
          <w:sz w:val="32"/>
          <w:szCs w:val="32"/>
        </w:rPr>
        <w:t>，“三公经费”的变动率为</w:t>
      </w:r>
      <w:r>
        <w:rPr>
          <w:rFonts w:asciiTheme="minorEastAsia" w:hAnsiTheme="minorEastAsia"/>
          <w:bCs/>
          <w:kern w:val="0"/>
          <w:sz w:val="32"/>
          <w:szCs w:val="32"/>
        </w:rPr>
        <w:t>0</w:t>
      </w:r>
      <w:r>
        <w:rPr>
          <w:rFonts w:hint="eastAsia" w:asciiTheme="minorEastAsia" w:hAnsiTheme="minorEastAsia"/>
          <w:bCs/>
          <w:kern w:val="0"/>
          <w:sz w:val="32"/>
          <w:szCs w:val="32"/>
        </w:rPr>
        <w:t>，重点支出安排率大于</w:t>
      </w:r>
      <w:r>
        <w:rPr>
          <w:rFonts w:asciiTheme="minorEastAsia" w:hAnsiTheme="minorEastAsia"/>
          <w:bCs/>
          <w:kern w:val="0"/>
          <w:sz w:val="32"/>
          <w:szCs w:val="32"/>
        </w:rPr>
        <w:t>90%</w:t>
      </w:r>
      <w:r>
        <w:rPr>
          <w:rFonts w:hint="eastAsia" w:asciiTheme="minorEastAsia" w:hAnsiTheme="minorEastAsia"/>
          <w:bCs/>
          <w:kern w:val="0"/>
          <w:sz w:val="32"/>
          <w:szCs w:val="32"/>
        </w:rPr>
        <w:t>。预算执行合理，预算调整率为</w:t>
      </w:r>
      <w:r>
        <w:rPr>
          <w:rFonts w:asciiTheme="minorEastAsia" w:hAnsiTheme="minorEastAsia"/>
          <w:bCs/>
          <w:kern w:val="0"/>
          <w:sz w:val="32"/>
          <w:szCs w:val="32"/>
        </w:rPr>
        <w:t>0</w:t>
      </w:r>
      <w:r>
        <w:rPr>
          <w:rFonts w:hint="eastAsia" w:asciiTheme="minorEastAsia" w:hAnsiTheme="minorEastAsia"/>
          <w:bCs/>
          <w:kern w:val="0"/>
          <w:sz w:val="32"/>
          <w:szCs w:val="32"/>
        </w:rPr>
        <w:t>，支出进度合理，年末无资金结余，“三公经费”控制率为</w:t>
      </w:r>
      <w:r>
        <w:rPr>
          <w:rFonts w:asciiTheme="minorEastAsia" w:hAnsiTheme="minorEastAsia"/>
          <w:bCs/>
          <w:kern w:val="0"/>
          <w:sz w:val="32"/>
          <w:szCs w:val="32"/>
        </w:rPr>
        <w:t>100%</w:t>
      </w:r>
      <w:r>
        <w:rPr>
          <w:rFonts w:hint="eastAsia" w:asciiTheme="minorEastAsia" w:hAnsiTheme="minorEastAsia"/>
          <w:bCs/>
          <w:kern w:val="0"/>
          <w:sz w:val="32"/>
          <w:szCs w:val="32"/>
        </w:rPr>
        <w:t>。预算管理过程严格，我所管理制度健全，资金使用合规，预决算信息公开完善。资产管理严格，管理制度健全，资产管理安全，利用率高。产出效果好。</w:t>
      </w:r>
    </w:p>
    <w:p>
      <w:pPr>
        <w:widowControl/>
        <w:spacing w:line="600" w:lineRule="exact"/>
        <w:jc w:val="left"/>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五、存在的主要问题</w:t>
      </w:r>
    </w:p>
    <w:p>
      <w:pPr>
        <w:widowControl/>
        <w:spacing w:line="600" w:lineRule="exact"/>
        <w:ind w:firstLine="640" w:firstLineChars="200"/>
        <w:jc w:val="left"/>
        <w:rPr>
          <w:rFonts w:asciiTheme="minorEastAsia" w:hAnsiTheme="minorEastAsia"/>
          <w:bCs/>
          <w:kern w:val="0"/>
          <w:sz w:val="32"/>
          <w:szCs w:val="32"/>
        </w:rPr>
      </w:pPr>
      <w:r>
        <w:rPr>
          <w:rFonts w:hint="eastAsia" w:asciiTheme="minorEastAsia" w:hAnsiTheme="minorEastAsia"/>
          <w:bCs/>
          <w:kern w:val="0"/>
          <w:sz w:val="32"/>
          <w:szCs w:val="32"/>
        </w:rPr>
        <w:t>我所财政拨款不足，已经出现连续亏损，目前靠附属单位上交利润维持经营运转。</w:t>
      </w:r>
    </w:p>
    <w:p>
      <w:pPr>
        <w:widowControl/>
        <w:spacing w:line="600" w:lineRule="exact"/>
        <w:jc w:val="left"/>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六、改进措施和相关建议</w:t>
      </w:r>
    </w:p>
    <w:p>
      <w:pPr>
        <w:widowControl/>
        <w:spacing w:line="600" w:lineRule="exact"/>
        <w:ind w:firstLine="640" w:firstLineChars="200"/>
        <w:jc w:val="left"/>
        <w:rPr>
          <w:rFonts w:asciiTheme="minorEastAsia" w:hAnsiTheme="minorEastAsia"/>
          <w:bCs/>
          <w:kern w:val="0"/>
          <w:sz w:val="32"/>
          <w:szCs w:val="32"/>
        </w:rPr>
      </w:pPr>
      <w:r>
        <w:rPr>
          <w:rFonts w:hint="eastAsia" w:asciiTheme="minorEastAsia" w:hAnsiTheme="minorEastAsia"/>
          <w:bCs/>
          <w:kern w:val="0"/>
          <w:sz w:val="32"/>
          <w:szCs w:val="32"/>
        </w:rPr>
        <w:t>2021年底我所进行改革，合并进入核地质调查所，单位已注销清算。</w:t>
      </w:r>
    </w:p>
    <w:p>
      <w:pPr>
        <w:spacing w:line="600" w:lineRule="exact"/>
        <w:ind w:firstLine="800" w:firstLineChars="250"/>
        <w:rPr>
          <w:rFonts w:asciiTheme="minorEastAsia" w:hAnsiTheme="minorEastAsia"/>
          <w:bCs/>
          <w:kern w:val="0"/>
          <w:sz w:val="32"/>
          <w:szCs w:val="32"/>
        </w:rPr>
      </w:pPr>
    </w:p>
    <w:p>
      <w:pPr>
        <w:spacing w:line="360" w:lineRule="auto"/>
        <w:rPr>
          <w:sz w:val="32"/>
          <w:szCs w:val="32"/>
        </w:rPr>
      </w:pPr>
    </w:p>
    <w:p>
      <w:pPr>
        <w:spacing w:line="360" w:lineRule="auto"/>
        <w:ind w:firstLine="4000" w:firstLineChars="1250"/>
        <w:rPr>
          <w:rFonts w:asciiTheme="minorEastAsia" w:hAnsiTheme="minorEastAsia"/>
          <w:bCs/>
          <w:kern w:val="0"/>
          <w:sz w:val="32"/>
          <w:szCs w:val="32"/>
        </w:rPr>
      </w:pPr>
      <w:r>
        <w:rPr>
          <w:rFonts w:hint="eastAsia" w:asciiTheme="minorEastAsia" w:hAnsiTheme="minorEastAsia"/>
          <w:bCs/>
          <w:kern w:val="0"/>
          <w:sz w:val="32"/>
          <w:szCs w:val="32"/>
        </w:rPr>
        <w:t>湖南省核工业地质局探矿技术研究所</w:t>
      </w:r>
    </w:p>
    <w:p>
      <w:pPr>
        <w:spacing w:line="360" w:lineRule="auto"/>
        <w:ind w:firstLine="6240" w:firstLineChars="1950"/>
        <w:rPr>
          <w:rFonts w:asciiTheme="minorEastAsia" w:hAnsiTheme="minorEastAsia"/>
          <w:bCs/>
          <w:kern w:val="0"/>
          <w:sz w:val="32"/>
          <w:szCs w:val="32"/>
        </w:rPr>
      </w:pPr>
      <w:r>
        <w:rPr>
          <w:rFonts w:asciiTheme="minorEastAsia" w:hAnsiTheme="minorEastAsia"/>
          <w:bCs/>
          <w:kern w:val="0"/>
          <w:sz w:val="32"/>
          <w:szCs w:val="32"/>
        </w:rPr>
        <w:t>20</w:t>
      </w:r>
      <w:r>
        <w:rPr>
          <w:rFonts w:hint="eastAsia" w:asciiTheme="minorEastAsia" w:hAnsiTheme="minorEastAsia"/>
          <w:bCs/>
          <w:kern w:val="0"/>
          <w:sz w:val="32"/>
          <w:szCs w:val="32"/>
        </w:rPr>
        <w:t xml:space="preserve">22年4月20日  </w:t>
      </w:r>
    </w:p>
    <w:p>
      <w:pPr>
        <w:spacing w:line="276" w:lineRule="auto"/>
        <w:rPr>
          <w:rFonts w:eastAsia="黑体"/>
          <w:sz w:val="32"/>
          <w:szCs w:val="32"/>
        </w:rPr>
      </w:pPr>
    </w:p>
    <w:p>
      <w:pPr>
        <w:spacing w:line="276" w:lineRule="auto"/>
        <w:rPr>
          <w:rFonts w:eastAsia="黑体"/>
          <w:sz w:val="32"/>
          <w:szCs w:val="32"/>
        </w:rPr>
      </w:pPr>
    </w:p>
    <w:p>
      <w:pPr>
        <w:spacing w:line="276" w:lineRule="auto"/>
        <w:rPr>
          <w:rFonts w:eastAsia="黑体"/>
          <w:sz w:val="32"/>
          <w:szCs w:val="32"/>
        </w:rPr>
      </w:pPr>
    </w:p>
    <w:p>
      <w:pPr>
        <w:spacing w:line="276" w:lineRule="auto"/>
        <w:rPr>
          <w:rFonts w:eastAsia="黑体"/>
          <w:sz w:val="32"/>
          <w:szCs w:val="32"/>
        </w:rPr>
      </w:pPr>
    </w:p>
    <w:p>
      <w:pPr>
        <w:spacing w:line="276" w:lineRule="auto"/>
        <w:rPr>
          <w:rFonts w:eastAsia="黑体"/>
          <w:sz w:val="32"/>
          <w:szCs w:val="32"/>
        </w:rPr>
      </w:pPr>
    </w:p>
    <w:p>
      <w:pPr>
        <w:spacing w:line="276" w:lineRule="auto"/>
        <w:rPr>
          <w:rFonts w:eastAsia="黑体"/>
          <w:sz w:val="32"/>
          <w:szCs w:val="32"/>
        </w:rPr>
      </w:pPr>
    </w:p>
    <w:p>
      <w:pPr>
        <w:spacing w:line="276" w:lineRule="auto"/>
        <w:rPr>
          <w:rFonts w:eastAsia="黑体"/>
          <w:sz w:val="32"/>
          <w:szCs w:val="32"/>
        </w:rPr>
      </w:pPr>
    </w:p>
    <w:p>
      <w:pPr>
        <w:spacing w:line="276" w:lineRule="auto"/>
        <w:rPr>
          <w:rFonts w:eastAsia="黑体"/>
          <w:sz w:val="32"/>
          <w:szCs w:val="32"/>
        </w:rPr>
      </w:pPr>
    </w:p>
    <w:p>
      <w:pPr>
        <w:spacing w:line="276" w:lineRule="auto"/>
        <w:rPr>
          <w:rFonts w:eastAsia="黑体"/>
          <w:sz w:val="32"/>
          <w:szCs w:val="32"/>
        </w:rPr>
      </w:pPr>
    </w:p>
    <w:p>
      <w:pPr>
        <w:spacing w:line="276" w:lineRule="auto"/>
        <w:rPr>
          <w:rFonts w:eastAsia="黑体"/>
          <w:sz w:val="32"/>
          <w:szCs w:val="32"/>
        </w:rPr>
      </w:pPr>
    </w:p>
    <w:p>
      <w:pPr>
        <w:spacing w:line="276" w:lineRule="auto"/>
        <w:rPr>
          <w:rFonts w:eastAsia="黑体"/>
          <w:sz w:val="32"/>
          <w:szCs w:val="32"/>
        </w:rPr>
      </w:pPr>
    </w:p>
    <w:p>
      <w:pPr>
        <w:spacing w:line="276" w:lineRule="auto"/>
        <w:rPr>
          <w:rFonts w:eastAsia="黑体"/>
          <w:sz w:val="32"/>
          <w:szCs w:val="32"/>
        </w:rPr>
      </w:pPr>
    </w:p>
    <w:p>
      <w:pPr>
        <w:spacing w:line="276" w:lineRule="auto"/>
        <w:rPr>
          <w:rFonts w:ascii="Times New Roman" w:hAnsi="Times New Roman" w:eastAsia="仿宋_GB2312" w:cs="Times New Roman"/>
          <w:sz w:val="24"/>
        </w:rPr>
      </w:pPr>
      <w:r>
        <w:rPr>
          <w:rFonts w:hint="eastAsia" w:eastAsia="黑体"/>
          <w:sz w:val="32"/>
          <w:szCs w:val="32"/>
        </w:rPr>
        <w:t xml:space="preserve">附件2    </w:t>
      </w:r>
      <w:r>
        <w:rPr>
          <w:rFonts w:ascii="Times New Roman" w:hAnsi="Times New Roman" w:eastAsia="方正小标宋_GBK" w:cs="Times New Roman"/>
          <w:sz w:val="36"/>
          <w:szCs w:val="36"/>
        </w:rPr>
        <w:t>2021年度部门整体支出绩效评价基础数据表</w:t>
      </w:r>
    </w:p>
    <w:tbl>
      <w:tblPr>
        <w:tblStyle w:val="7"/>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2021年实际在职人数</w:t>
            </w:r>
          </w:p>
        </w:tc>
        <w:tc>
          <w:tcPr>
            <w:tcW w:w="2041"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控制率</w:t>
            </w:r>
          </w:p>
        </w:tc>
      </w:tr>
      <w:tr>
        <w:tblPrEx>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45</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38</w:t>
            </w:r>
            <w:r>
              <w:rPr>
                <w:rFonts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100</w:t>
            </w: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2020年决算数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2021年预算数</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2021年决算数</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3、省级专项资金（一个专项一行）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1.82</w:t>
            </w:r>
            <w:r>
              <w:rPr>
                <w:rFonts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2</w:t>
            </w:r>
            <w:r>
              <w:rPr>
                <w:rFonts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4.6</w:t>
            </w: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FF0000"/>
                <w:sz w:val="20"/>
                <w:szCs w:val="20"/>
              </w:rPr>
            </w:pPr>
            <w:r>
              <w:rPr>
                <w:rFonts w:hint="eastAsia" w:ascii="Times New Roman" w:hAnsi="Times New Roman" w:eastAsia="仿宋_GB2312" w:cs="Times New Roman"/>
                <w:sz w:val="20"/>
                <w:szCs w:val="20"/>
              </w:rPr>
              <w:t>1</w:t>
            </w:r>
            <w:r>
              <w:rPr>
                <w:rFonts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FF0000"/>
                <w:sz w:val="20"/>
                <w:szCs w:val="20"/>
              </w:rPr>
            </w:pPr>
            <w:r>
              <w:rPr>
                <w:rFonts w:hint="eastAsia" w:ascii="Times New Roman" w:hAnsi="Times New Roman" w:eastAsia="仿宋_GB2312" w:cs="Times New Roman"/>
                <w:sz w:val="20"/>
                <w:szCs w:val="20"/>
              </w:rPr>
              <w:t>2</w:t>
            </w:r>
            <w:r>
              <w:rPr>
                <w:rFonts w:ascii="Times New Roman" w:hAnsi="Times New Roman" w:eastAsia="仿宋_GB2312" w:cs="Times New Roman"/>
                <w:color w:val="FF0000"/>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FF0000"/>
                <w:sz w:val="20"/>
                <w:szCs w:val="20"/>
              </w:rPr>
            </w:pPr>
            <w:r>
              <w:rPr>
                <w:rFonts w:hint="eastAsia" w:ascii="Times New Roman" w:hAnsi="Times New Roman" w:eastAsia="仿宋_GB2312" w:cs="Times New Roman"/>
                <w:sz w:val="20"/>
                <w:szCs w:val="20"/>
              </w:rPr>
              <w:t>2</w:t>
            </w: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FF0000"/>
                <w:sz w:val="20"/>
                <w:szCs w:val="20"/>
              </w:rPr>
            </w:pPr>
            <w:r>
              <w:rPr>
                <w:rFonts w:hint="eastAsia" w:ascii="Times New Roman" w:hAnsi="Times New Roman" w:eastAsia="仿宋_GB2312" w:cs="Times New Roman"/>
                <w:sz w:val="20"/>
                <w:szCs w:val="20"/>
              </w:rPr>
              <w:t>0.82</w:t>
            </w:r>
            <w:r>
              <w:rPr>
                <w:rFonts w:ascii="Times New Roman" w:hAnsi="Times New Roman" w:eastAsia="仿宋_GB2312" w:cs="Times New Roman"/>
                <w:color w:val="FF0000"/>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FF0000"/>
                <w:sz w:val="20"/>
                <w:szCs w:val="20"/>
              </w:rPr>
            </w:pP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FF0000"/>
                <w:sz w:val="20"/>
                <w:szCs w:val="20"/>
              </w:rPr>
            </w:pPr>
            <w:r>
              <w:rPr>
                <w:rFonts w:ascii="Times New Roman" w:hAnsi="Times New Roman" w:eastAsia="仿宋_GB2312" w:cs="Times New Roman"/>
                <w:color w:val="FF0000"/>
                <w:sz w:val="20"/>
                <w:szCs w:val="2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w:t>
            </w:r>
            <w:r>
              <w:rPr>
                <w:rFonts w:hint="eastAsia" w:ascii="Times New Roman" w:hAnsi="Times New Roman" w:eastAsia="仿宋_GB2312" w:cs="Times New Roman"/>
                <w:sz w:val="20"/>
                <w:szCs w:val="20"/>
              </w:rPr>
              <w:t xml:space="preserve">       </w:t>
            </w:r>
            <w:r>
              <w:rPr>
                <w:rFonts w:ascii="Times New Roman" w:hAnsi="Times New Roman" w:eastAsia="仿宋_GB2312" w:cs="Times New Roman"/>
                <w:sz w:val="20"/>
                <w:szCs w:val="20"/>
              </w:rPr>
              <w:t xml:space="preserve"> 审计费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FF0000"/>
                <w:sz w:val="20"/>
                <w:szCs w:val="20"/>
              </w:rPr>
            </w:pPr>
            <w:r>
              <w:rPr>
                <w:rFonts w:ascii="Times New Roman" w:hAnsi="Times New Roman" w:eastAsia="仿宋_GB2312" w:cs="Times New Roman"/>
                <w:color w:val="FF0000"/>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FF0000"/>
                <w:sz w:val="20"/>
                <w:szCs w:val="20"/>
              </w:rPr>
            </w:pPr>
            <w:r>
              <w:rPr>
                <w:rFonts w:hint="eastAsia" w:ascii="Times New Roman" w:hAnsi="Times New Roman" w:eastAsia="仿宋_GB2312" w:cs="Times New Roman"/>
                <w:sz w:val="20"/>
                <w:szCs w:val="20"/>
              </w:rPr>
              <w:t>0</w:t>
            </w:r>
            <w:r>
              <w:rPr>
                <w:rFonts w:ascii="Times New Roman" w:hAnsi="Times New Roman" w:eastAsia="仿宋_GB2312" w:cs="Times New Roman"/>
                <w:color w:val="FF0000"/>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FF0000"/>
                <w:sz w:val="20"/>
                <w:szCs w:val="20"/>
              </w:rPr>
            </w:pPr>
            <w:r>
              <w:rPr>
                <w:rFonts w:hint="eastAsia" w:ascii="Times New Roman" w:hAnsi="Times New Roman" w:eastAsia="仿宋_GB2312" w:cs="Times New Roman"/>
                <w:sz w:val="20"/>
                <w:szCs w:val="20"/>
              </w:rPr>
              <w:t>2.6</w:t>
            </w:r>
            <w:r>
              <w:rPr>
                <w:rFonts w:ascii="Times New Roman" w:hAnsi="Times New Roman" w:eastAsia="仿宋_GB2312" w:cs="Times New Roman"/>
                <w:color w:val="FF0000"/>
                <w:sz w:val="20"/>
                <w:szCs w:val="2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413.84</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345.14</w:t>
            </w:r>
            <w:r>
              <w:rPr>
                <w:rFonts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347.74</w:t>
            </w:r>
          </w:p>
        </w:tc>
      </w:tr>
      <w:tr>
        <w:tblPrEx>
          <w:tblCellMar>
            <w:top w:w="0" w:type="dxa"/>
            <w:left w:w="108" w:type="dxa"/>
            <w:bottom w:w="0" w:type="dxa"/>
            <w:right w:w="108" w:type="dxa"/>
          </w:tblCellMar>
        </w:tblPrEx>
        <w:trPr>
          <w:trHeight w:val="777"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楼堂馆所控制情况</w:t>
            </w:r>
          </w:p>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（2021年完工项目）</w:t>
            </w:r>
          </w:p>
        </w:tc>
        <w:tc>
          <w:tcPr>
            <w:tcW w:w="118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批复规模</w:t>
            </w:r>
          </w:p>
          <w:p>
            <w:pPr>
              <w:widowControl/>
              <w:spacing w:line="24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w:t>
            </w:r>
            <w:r>
              <w:rPr>
                <w:rFonts w:ascii="Times New Roman" w:hAnsi="Times New Roman" w:cs="Times New Roman"/>
                <w:bCs/>
                <w:sz w:val="20"/>
                <w:szCs w:val="20"/>
              </w:rPr>
              <w:t>㎡</w:t>
            </w:r>
            <w:r>
              <w:rPr>
                <w:rFonts w:ascii="Times New Roman" w:hAnsi="Times New Roman" w:eastAsia="仿宋_GB2312" w:cs="Times New Roman"/>
                <w:bCs/>
                <w:sz w:val="20"/>
                <w:szCs w:val="20"/>
              </w:rPr>
              <w:t>）</w:t>
            </w:r>
          </w:p>
        </w:tc>
        <w:tc>
          <w:tcPr>
            <w:tcW w:w="84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实际规模（</w:t>
            </w:r>
            <w:r>
              <w:rPr>
                <w:rFonts w:ascii="Times New Roman" w:hAnsi="Times New Roman" w:cs="Times New Roman"/>
                <w:bCs/>
                <w:sz w:val="20"/>
                <w:szCs w:val="20"/>
              </w:rPr>
              <w:t>㎡</w:t>
            </w:r>
            <w:r>
              <w:rPr>
                <w:rFonts w:ascii="Times New Roman" w:hAnsi="Times New Roman" w:eastAsia="仿宋_GB2312" w:cs="Times New Roman"/>
                <w:bCs/>
                <w:sz w:val="20"/>
                <w:szCs w:val="20"/>
              </w:rPr>
              <w:t>）</w:t>
            </w:r>
          </w:p>
        </w:tc>
        <w:tc>
          <w:tcPr>
            <w:tcW w:w="112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规模控制率</w:t>
            </w:r>
          </w:p>
        </w:tc>
        <w:tc>
          <w:tcPr>
            <w:tcW w:w="111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预算投资（万元）</w:t>
            </w:r>
          </w:p>
        </w:tc>
        <w:tc>
          <w:tcPr>
            <w:tcW w:w="108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实际投资（万元）</w:t>
            </w:r>
          </w:p>
        </w:tc>
        <w:tc>
          <w:tcPr>
            <w:tcW w:w="96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p>
        </w:tc>
        <w:tc>
          <w:tcPr>
            <w:tcW w:w="118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0</w:t>
            </w:r>
            <w:r>
              <w:rPr>
                <w:rFonts w:ascii="Times New Roman" w:hAnsi="Times New Roman" w:eastAsia="仿宋_GB2312" w:cs="Times New Roman"/>
                <w:sz w:val="20"/>
                <w:szCs w:val="20"/>
              </w:rPr>
              <w:t>　</w:t>
            </w:r>
          </w:p>
        </w:tc>
        <w:tc>
          <w:tcPr>
            <w:tcW w:w="84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0</w:t>
            </w:r>
          </w:p>
        </w:tc>
        <w:tc>
          <w:tcPr>
            <w:tcW w:w="112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b/>
                <w:bCs/>
                <w:sz w:val="20"/>
                <w:szCs w:val="20"/>
              </w:rPr>
              <w:t>　</w:t>
            </w:r>
            <w:r>
              <w:rPr>
                <w:rFonts w:hint="eastAsia" w:ascii="Times New Roman" w:hAnsi="Times New Roman" w:eastAsia="仿宋_GB2312" w:cs="Times New Roman"/>
                <w:b/>
                <w:bCs/>
                <w:sz w:val="20"/>
                <w:szCs w:val="20"/>
              </w:rPr>
              <w:t>0</w:t>
            </w:r>
          </w:p>
        </w:tc>
        <w:tc>
          <w:tcPr>
            <w:tcW w:w="1111"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0</w:t>
            </w:r>
          </w:p>
        </w:tc>
        <w:tc>
          <w:tcPr>
            <w:tcW w:w="1081"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0</w:t>
            </w:r>
          </w:p>
        </w:tc>
        <w:tc>
          <w:tcPr>
            <w:tcW w:w="96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0</w:t>
            </w:r>
          </w:p>
        </w:tc>
      </w:tr>
      <w:tr>
        <w:tblPrEx>
          <w:tblCellMar>
            <w:top w:w="0" w:type="dxa"/>
            <w:left w:w="108" w:type="dxa"/>
            <w:bottom w:w="0" w:type="dxa"/>
            <w:right w:w="108" w:type="dxa"/>
          </w:tblCellMar>
        </w:tblPrEx>
        <w:trPr>
          <w:trHeight w:val="756"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vAlign w:val="center"/>
          </w:tcPr>
          <w:p>
            <w:pPr>
              <w:widowControl/>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压缩日常公用经费5.5万元，情况良好。</w:t>
            </w:r>
            <w:r>
              <w:rPr>
                <w:rFonts w:ascii="Times New Roman" w:hAnsi="Times New Roman" w:eastAsia="仿宋_GB2312" w:cs="Times New Roman"/>
                <w:sz w:val="20"/>
                <w:szCs w:val="20"/>
              </w:rPr>
              <w:t>　</w:t>
            </w:r>
          </w:p>
        </w:tc>
      </w:tr>
    </w:tbl>
    <w:p>
      <w:pPr>
        <w:widowControl/>
        <w:jc w:val="left"/>
        <w:rPr>
          <w:rFonts w:ascii="Times New Roman" w:hAnsi="Times New Roman" w:eastAsia="仿宋_GB2312" w:cs="Times New Roman"/>
          <w:sz w:val="22"/>
        </w:rPr>
      </w:pPr>
    </w:p>
    <w:p>
      <w:pPr>
        <w:widowControl/>
        <w:jc w:val="left"/>
        <w:rPr>
          <w:rFonts w:ascii="Times New Roman" w:hAnsi="Times New Roman" w:eastAsia="仿宋_GB2312" w:cs="Times New Roman"/>
          <w:sz w:val="22"/>
        </w:rPr>
      </w:pPr>
      <w:r>
        <w:rPr>
          <w:rFonts w:ascii="Times New Roman" w:hAnsi="Times New Roman" w:eastAsia="仿宋_GB2312" w:cs="Times New Roman"/>
          <w:sz w:val="22"/>
        </w:rPr>
        <w:t>说明：“项目支出”需要填报基本支出以外的所有项目支出情况，“公用经费”填报基本支出中的一般商品和服务支出。</w:t>
      </w:r>
    </w:p>
    <w:p>
      <w:pPr>
        <w:jc w:val="left"/>
        <w:rPr>
          <w:rFonts w:cs="黑体" w:asciiTheme="minorEastAsia" w:hAnsiTheme="minorEastAsia"/>
          <w:color w:val="000000"/>
          <w:kern w:val="0"/>
          <w:sz w:val="32"/>
          <w:szCs w:val="32"/>
        </w:rPr>
      </w:pPr>
    </w:p>
    <w:sectPr>
      <w:headerReference r:id="rId3" w:type="default"/>
      <w:footerReference r:id="rId4" w:type="default"/>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8"/>
        <w:szCs w:val="28"/>
      </w:rPr>
    </w:pPr>
    <w:r>
      <w:rPr>
        <w:rStyle w:val="9"/>
        <w:rFonts w:hint="eastAsia" w:cs="宋体"/>
      </w:rPr>
      <w:t>—</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20</w:t>
    </w:r>
    <w:r>
      <w:rPr>
        <w:sz w:val="28"/>
        <w:szCs w:val="28"/>
      </w:rPr>
      <w:fldChar w:fldCharType="end"/>
    </w:r>
    <w:r>
      <w:rPr>
        <w:rStyle w:val="9"/>
        <w:rFonts w:hint="eastAsia" w:cs="宋体"/>
      </w:rPr>
      <w:t>—</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035D5"/>
    <w:multiLevelType w:val="singleLevel"/>
    <w:tmpl w:val="9A6035D5"/>
    <w:lvl w:ilvl="0" w:tentative="0">
      <w:start w:val="1"/>
      <w:numFmt w:val="chineseCounting"/>
      <w:suff w:val="nothing"/>
      <w:lvlText w:val="（%1）"/>
      <w:lvlJc w:val="left"/>
      <w:rPr>
        <w:rFonts w:hint="eastAsia"/>
      </w:rPr>
    </w:lvl>
  </w:abstractNum>
  <w:abstractNum w:abstractNumId="1">
    <w:nsid w:val="585092DA"/>
    <w:multiLevelType w:val="singleLevel"/>
    <w:tmpl w:val="585092DA"/>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M2ZkY2MwYWFmNDk2NWNkZGIzYWMyNzRhNDBkMzYifQ=="/>
  </w:docVars>
  <w:rsids>
    <w:rsidRoot w:val="004506F9"/>
    <w:rsid w:val="00012EFC"/>
    <w:rsid w:val="00014B12"/>
    <w:rsid w:val="0002229B"/>
    <w:rsid w:val="000273BD"/>
    <w:rsid w:val="000415B7"/>
    <w:rsid w:val="00041E3F"/>
    <w:rsid w:val="00055DAA"/>
    <w:rsid w:val="00061F7B"/>
    <w:rsid w:val="000658A3"/>
    <w:rsid w:val="00074155"/>
    <w:rsid w:val="000914EF"/>
    <w:rsid w:val="000A0BD4"/>
    <w:rsid w:val="000A3F69"/>
    <w:rsid w:val="00101AC7"/>
    <w:rsid w:val="00103957"/>
    <w:rsid w:val="00124E44"/>
    <w:rsid w:val="00125575"/>
    <w:rsid w:val="00152C6D"/>
    <w:rsid w:val="001570B4"/>
    <w:rsid w:val="00162D39"/>
    <w:rsid w:val="00164223"/>
    <w:rsid w:val="001678BD"/>
    <w:rsid w:val="001A2990"/>
    <w:rsid w:val="001A67DB"/>
    <w:rsid w:val="001A7DDD"/>
    <w:rsid w:val="001C39B3"/>
    <w:rsid w:val="001C3C29"/>
    <w:rsid w:val="001D51E5"/>
    <w:rsid w:val="001E080D"/>
    <w:rsid w:val="001E48FE"/>
    <w:rsid w:val="001E53D0"/>
    <w:rsid w:val="001F0C3B"/>
    <w:rsid w:val="00202C82"/>
    <w:rsid w:val="00206580"/>
    <w:rsid w:val="00214427"/>
    <w:rsid w:val="00226CB7"/>
    <w:rsid w:val="00264552"/>
    <w:rsid w:val="00264EF9"/>
    <w:rsid w:val="00265724"/>
    <w:rsid w:val="0027426B"/>
    <w:rsid w:val="00280F61"/>
    <w:rsid w:val="002A5C27"/>
    <w:rsid w:val="002B02E7"/>
    <w:rsid w:val="002D0962"/>
    <w:rsid w:val="002E0A30"/>
    <w:rsid w:val="003130C4"/>
    <w:rsid w:val="00316C4B"/>
    <w:rsid w:val="0032192B"/>
    <w:rsid w:val="003479BD"/>
    <w:rsid w:val="0035649C"/>
    <w:rsid w:val="0037197D"/>
    <w:rsid w:val="00374BC4"/>
    <w:rsid w:val="003768D5"/>
    <w:rsid w:val="0039703B"/>
    <w:rsid w:val="003C46D6"/>
    <w:rsid w:val="003C47E6"/>
    <w:rsid w:val="003C4FC2"/>
    <w:rsid w:val="003E6F2D"/>
    <w:rsid w:val="00402DCB"/>
    <w:rsid w:val="00416E61"/>
    <w:rsid w:val="00417CC5"/>
    <w:rsid w:val="0042790C"/>
    <w:rsid w:val="0043657F"/>
    <w:rsid w:val="004506F9"/>
    <w:rsid w:val="00461C40"/>
    <w:rsid w:val="004717A2"/>
    <w:rsid w:val="00473DF3"/>
    <w:rsid w:val="00487911"/>
    <w:rsid w:val="00491741"/>
    <w:rsid w:val="00491BD6"/>
    <w:rsid w:val="004B18DF"/>
    <w:rsid w:val="004F764B"/>
    <w:rsid w:val="00500E5F"/>
    <w:rsid w:val="0050118A"/>
    <w:rsid w:val="005122EF"/>
    <w:rsid w:val="0051441A"/>
    <w:rsid w:val="005144F6"/>
    <w:rsid w:val="00517C33"/>
    <w:rsid w:val="00522BF0"/>
    <w:rsid w:val="00523644"/>
    <w:rsid w:val="00525F50"/>
    <w:rsid w:val="0054069E"/>
    <w:rsid w:val="00544866"/>
    <w:rsid w:val="005767CC"/>
    <w:rsid w:val="00587737"/>
    <w:rsid w:val="00590D9F"/>
    <w:rsid w:val="0059481F"/>
    <w:rsid w:val="00595D26"/>
    <w:rsid w:val="005A74E6"/>
    <w:rsid w:val="005B3E4D"/>
    <w:rsid w:val="005B404E"/>
    <w:rsid w:val="005C6E30"/>
    <w:rsid w:val="005D0AB4"/>
    <w:rsid w:val="005D4D55"/>
    <w:rsid w:val="005E2CFB"/>
    <w:rsid w:val="005F3D1C"/>
    <w:rsid w:val="005F4C9C"/>
    <w:rsid w:val="00620D30"/>
    <w:rsid w:val="00623287"/>
    <w:rsid w:val="0062378F"/>
    <w:rsid w:val="00633286"/>
    <w:rsid w:val="00641842"/>
    <w:rsid w:val="00651EEC"/>
    <w:rsid w:val="00654A50"/>
    <w:rsid w:val="0068540F"/>
    <w:rsid w:val="00686673"/>
    <w:rsid w:val="00690CCF"/>
    <w:rsid w:val="00691E8C"/>
    <w:rsid w:val="00695C73"/>
    <w:rsid w:val="006A22C4"/>
    <w:rsid w:val="006A351B"/>
    <w:rsid w:val="006B0422"/>
    <w:rsid w:val="006C1B53"/>
    <w:rsid w:val="006C3340"/>
    <w:rsid w:val="006D7730"/>
    <w:rsid w:val="006E5146"/>
    <w:rsid w:val="006E5284"/>
    <w:rsid w:val="006F3EB5"/>
    <w:rsid w:val="00702E34"/>
    <w:rsid w:val="00704395"/>
    <w:rsid w:val="00717621"/>
    <w:rsid w:val="00720FF1"/>
    <w:rsid w:val="00727A53"/>
    <w:rsid w:val="0075200B"/>
    <w:rsid w:val="0077555E"/>
    <w:rsid w:val="0078127A"/>
    <w:rsid w:val="00787B42"/>
    <w:rsid w:val="00791800"/>
    <w:rsid w:val="007C2910"/>
    <w:rsid w:val="007C4539"/>
    <w:rsid w:val="007E47CA"/>
    <w:rsid w:val="007F3657"/>
    <w:rsid w:val="00812ED5"/>
    <w:rsid w:val="00817F03"/>
    <w:rsid w:val="008277D9"/>
    <w:rsid w:val="00831EA2"/>
    <w:rsid w:val="0084478C"/>
    <w:rsid w:val="0085650C"/>
    <w:rsid w:val="0086638C"/>
    <w:rsid w:val="00880118"/>
    <w:rsid w:val="008978B9"/>
    <w:rsid w:val="008A3E8D"/>
    <w:rsid w:val="008C0588"/>
    <w:rsid w:val="008F11AA"/>
    <w:rsid w:val="008F789E"/>
    <w:rsid w:val="0090406F"/>
    <w:rsid w:val="0091462B"/>
    <w:rsid w:val="0092329F"/>
    <w:rsid w:val="009237C4"/>
    <w:rsid w:val="00944C48"/>
    <w:rsid w:val="00950252"/>
    <w:rsid w:val="00961F76"/>
    <w:rsid w:val="00967F5D"/>
    <w:rsid w:val="00983366"/>
    <w:rsid w:val="009A0F95"/>
    <w:rsid w:val="009B0EC4"/>
    <w:rsid w:val="009B0FBD"/>
    <w:rsid w:val="009B3ADF"/>
    <w:rsid w:val="009C3B52"/>
    <w:rsid w:val="009E6817"/>
    <w:rsid w:val="009E6E9A"/>
    <w:rsid w:val="00A01D2B"/>
    <w:rsid w:val="00A06441"/>
    <w:rsid w:val="00A408D4"/>
    <w:rsid w:val="00A42218"/>
    <w:rsid w:val="00A70249"/>
    <w:rsid w:val="00A70B02"/>
    <w:rsid w:val="00A71D9F"/>
    <w:rsid w:val="00A92E9F"/>
    <w:rsid w:val="00AB3081"/>
    <w:rsid w:val="00AB3FE2"/>
    <w:rsid w:val="00B33BEA"/>
    <w:rsid w:val="00B4305E"/>
    <w:rsid w:val="00B57C9F"/>
    <w:rsid w:val="00B61D1E"/>
    <w:rsid w:val="00B63572"/>
    <w:rsid w:val="00B845B3"/>
    <w:rsid w:val="00B85D8B"/>
    <w:rsid w:val="00BA1403"/>
    <w:rsid w:val="00BB1585"/>
    <w:rsid w:val="00BB4A40"/>
    <w:rsid w:val="00BD6C3E"/>
    <w:rsid w:val="00BE3674"/>
    <w:rsid w:val="00BE36FB"/>
    <w:rsid w:val="00BF29FB"/>
    <w:rsid w:val="00C10681"/>
    <w:rsid w:val="00C3049A"/>
    <w:rsid w:val="00C31B1E"/>
    <w:rsid w:val="00C4123A"/>
    <w:rsid w:val="00C45F8A"/>
    <w:rsid w:val="00C77645"/>
    <w:rsid w:val="00CB3262"/>
    <w:rsid w:val="00CD576B"/>
    <w:rsid w:val="00CE04C3"/>
    <w:rsid w:val="00CE5BDE"/>
    <w:rsid w:val="00CE76A0"/>
    <w:rsid w:val="00D05AC0"/>
    <w:rsid w:val="00D148C6"/>
    <w:rsid w:val="00D17A8A"/>
    <w:rsid w:val="00D31B43"/>
    <w:rsid w:val="00D35466"/>
    <w:rsid w:val="00D41003"/>
    <w:rsid w:val="00D415BA"/>
    <w:rsid w:val="00D44110"/>
    <w:rsid w:val="00D644EE"/>
    <w:rsid w:val="00D849D5"/>
    <w:rsid w:val="00D90109"/>
    <w:rsid w:val="00DB5D66"/>
    <w:rsid w:val="00DC5F78"/>
    <w:rsid w:val="00DC713B"/>
    <w:rsid w:val="00DD06FF"/>
    <w:rsid w:val="00DD5FE9"/>
    <w:rsid w:val="00E00C7A"/>
    <w:rsid w:val="00E37D6C"/>
    <w:rsid w:val="00E55B68"/>
    <w:rsid w:val="00E57826"/>
    <w:rsid w:val="00E67BE6"/>
    <w:rsid w:val="00E67C6E"/>
    <w:rsid w:val="00E74A4E"/>
    <w:rsid w:val="00E75E4F"/>
    <w:rsid w:val="00E85935"/>
    <w:rsid w:val="00E86384"/>
    <w:rsid w:val="00E8683C"/>
    <w:rsid w:val="00E9796B"/>
    <w:rsid w:val="00EA2B72"/>
    <w:rsid w:val="00F10499"/>
    <w:rsid w:val="00F74360"/>
    <w:rsid w:val="00FB462F"/>
    <w:rsid w:val="00FB76B8"/>
    <w:rsid w:val="00FC1A8C"/>
    <w:rsid w:val="00FD76DF"/>
    <w:rsid w:val="00FE16FA"/>
    <w:rsid w:val="00FE328A"/>
    <w:rsid w:val="00FE6269"/>
    <w:rsid w:val="00FF5CD6"/>
    <w:rsid w:val="01FF4759"/>
    <w:rsid w:val="022C2D03"/>
    <w:rsid w:val="03EC21D1"/>
    <w:rsid w:val="04495930"/>
    <w:rsid w:val="047649DE"/>
    <w:rsid w:val="06A62EE2"/>
    <w:rsid w:val="08B63FBA"/>
    <w:rsid w:val="0A7D7D7B"/>
    <w:rsid w:val="0DA5374C"/>
    <w:rsid w:val="104264E3"/>
    <w:rsid w:val="11E214A1"/>
    <w:rsid w:val="125E65B4"/>
    <w:rsid w:val="1284524E"/>
    <w:rsid w:val="15511A23"/>
    <w:rsid w:val="16AC4DE2"/>
    <w:rsid w:val="17BD1E3F"/>
    <w:rsid w:val="17CE127C"/>
    <w:rsid w:val="17D076C7"/>
    <w:rsid w:val="19894B0C"/>
    <w:rsid w:val="1A0D016A"/>
    <w:rsid w:val="1BB90172"/>
    <w:rsid w:val="1E967206"/>
    <w:rsid w:val="1F054D5D"/>
    <w:rsid w:val="200B4548"/>
    <w:rsid w:val="22066450"/>
    <w:rsid w:val="224551CB"/>
    <w:rsid w:val="23D36806"/>
    <w:rsid w:val="2441417E"/>
    <w:rsid w:val="2580260B"/>
    <w:rsid w:val="259D531E"/>
    <w:rsid w:val="25D63DFC"/>
    <w:rsid w:val="264C0063"/>
    <w:rsid w:val="297B3BC8"/>
    <w:rsid w:val="2A3031E6"/>
    <w:rsid w:val="2D64734A"/>
    <w:rsid w:val="313135F0"/>
    <w:rsid w:val="31513648"/>
    <w:rsid w:val="3168489A"/>
    <w:rsid w:val="32DD3E2B"/>
    <w:rsid w:val="330B3EFF"/>
    <w:rsid w:val="33D962D0"/>
    <w:rsid w:val="34A9594C"/>
    <w:rsid w:val="355C1429"/>
    <w:rsid w:val="35AC2F25"/>
    <w:rsid w:val="39225E0E"/>
    <w:rsid w:val="39BF3E81"/>
    <w:rsid w:val="3A2D42DD"/>
    <w:rsid w:val="3A8E0B3B"/>
    <w:rsid w:val="3DBFCE6A"/>
    <w:rsid w:val="3DEB06C8"/>
    <w:rsid w:val="3F010273"/>
    <w:rsid w:val="3FF6EBBD"/>
    <w:rsid w:val="40002866"/>
    <w:rsid w:val="40A25237"/>
    <w:rsid w:val="40FB1A8E"/>
    <w:rsid w:val="42F96044"/>
    <w:rsid w:val="44B87626"/>
    <w:rsid w:val="457C0654"/>
    <w:rsid w:val="46301C45"/>
    <w:rsid w:val="46603AD2"/>
    <w:rsid w:val="470E334B"/>
    <w:rsid w:val="47963CA7"/>
    <w:rsid w:val="48E252B8"/>
    <w:rsid w:val="49AD27F8"/>
    <w:rsid w:val="4A9D3546"/>
    <w:rsid w:val="4BB06A55"/>
    <w:rsid w:val="4C017B05"/>
    <w:rsid w:val="4CAD6A0F"/>
    <w:rsid w:val="4CD300C3"/>
    <w:rsid w:val="4CE37103"/>
    <w:rsid w:val="4FCD383B"/>
    <w:rsid w:val="50E04873"/>
    <w:rsid w:val="50EE0225"/>
    <w:rsid w:val="52245D8B"/>
    <w:rsid w:val="52350508"/>
    <w:rsid w:val="526560C1"/>
    <w:rsid w:val="545F31EA"/>
    <w:rsid w:val="546E385E"/>
    <w:rsid w:val="55FE0041"/>
    <w:rsid w:val="57FB3981"/>
    <w:rsid w:val="58E60A5F"/>
    <w:rsid w:val="59276AF6"/>
    <w:rsid w:val="59E751E4"/>
    <w:rsid w:val="5B6A4C68"/>
    <w:rsid w:val="5B920698"/>
    <w:rsid w:val="5C2A646F"/>
    <w:rsid w:val="5D017965"/>
    <w:rsid w:val="5D7A14C5"/>
    <w:rsid w:val="5FE76D8C"/>
    <w:rsid w:val="62CB5008"/>
    <w:rsid w:val="63A07753"/>
    <w:rsid w:val="658E0D9B"/>
    <w:rsid w:val="65FB6615"/>
    <w:rsid w:val="660B54F3"/>
    <w:rsid w:val="665C6DFC"/>
    <w:rsid w:val="673B1550"/>
    <w:rsid w:val="67424E02"/>
    <w:rsid w:val="690649DD"/>
    <w:rsid w:val="69942065"/>
    <w:rsid w:val="6A150680"/>
    <w:rsid w:val="6FCB573A"/>
    <w:rsid w:val="71240A16"/>
    <w:rsid w:val="71A0343F"/>
    <w:rsid w:val="71A53DBA"/>
    <w:rsid w:val="71AB144B"/>
    <w:rsid w:val="72ED0EA6"/>
    <w:rsid w:val="73521EA3"/>
    <w:rsid w:val="77D1204E"/>
    <w:rsid w:val="782C73E4"/>
    <w:rsid w:val="78AB68FA"/>
    <w:rsid w:val="797414BC"/>
    <w:rsid w:val="7A322328"/>
    <w:rsid w:val="7A715CD2"/>
    <w:rsid w:val="7ADE5BA7"/>
    <w:rsid w:val="7B2C55A1"/>
    <w:rsid w:val="7BCB1412"/>
    <w:rsid w:val="7BEA2F82"/>
    <w:rsid w:val="7E0E55E6"/>
    <w:rsid w:val="7E5B3D0C"/>
    <w:rsid w:val="7EB4618D"/>
    <w:rsid w:val="7F2C55AD"/>
    <w:rsid w:val="7F4129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Calibri" w:hAnsi="Calibri" w:eastAsia="宋体" w:cs="宋体"/>
      <w:kern w:val="2"/>
      <w:sz w:val="21"/>
      <w:szCs w:val="24"/>
      <w:lang w:val="en-US" w:eastAsia="zh-CN" w:bidi="ar-SA"/>
    </w:rPr>
  </w:style>
  <w:style w:type="paragraph" w:styleId="3">
    <w:name w:val="toc 5"/>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0"/>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99"/>
    <w:pPr>
      <w:ind w:firstLine="420" w:firstLineChars="200"/>
    </w:pPr>
  </w:style>
  <w:style w:type="character" w:customStyle="1" w:styleId="14">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26</Pages>
  <Words>4533</Words>
  <Characters>4971</Characters>
  <Lines>41</Lines>
  <Paragraphs>11</Paragraphs>
  <TotalTime>2</TotalTime>
  <ScaleCrop>false</ScaleCrop>
  <LinksUpToDate>false</LinksUpToDate>
  <CharactersWithSpaces>5212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2022-09-07T19:43:00Z</dcterms:created>
  <dc:creator>李航 null</dc:creator>
  <cp:lastModifiedBy>啃泥</cp:lastModifiedBy>
  <cp:lastPrinted>2022-09-07T17:02:00Z</cp:lastPrinted>
  <dcterms:modified xsi:type="dcterms:W3CDTF">2023-09-26T03:10:57Z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DFD03FB996454D5BB91EB428B796E3D7_13</vt:lpwstr>
  </property>
</Properties>
</file>