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sz w:val="84"/>
          <w:szCs w:val="84"/>
        </w:rPr>
        <w:t>2021</w:t>
      </w:r>
      <w:r>
        <w:rPr>
          <w:rFonts w:hint="eastAsia"/>
          <w:sz w:val="84"/>
          <w:szCs w:val="84"/>
        </w:rPr>
        <w:t>年度</w:t>
      </w:r>
    </w:p>
    <w:p>
      <w:pPr>
        <w:pStyle w:val="9"/>
        <w:jc w:val="center"/>
        <w:rPr>
          <w:sz w:val="84"/>
          <w:szCs w:val="84"/>
        </w:rPr>
      </w:pPr>
      <w:r>
        <w:rPr>
          <w:rFonts w:hint="eastAsia"/>
          <w:sz w:val="84"/>
          <w:szCs w:val="84"/>
        </w:rPr>
        <w:t>湖南省核工业地质局三</w:t>
      </w:r>
      <w:r>
        <w:rPr>
          <w:sz w:val="84"/>
          <w:szCs w:val="84"/>
        </w:rPr>
        <w:t>0</w:t>
      </w:r>
      <w:r>
        <w:rPr>
          <w:rFonts w:hint="eastAsia"/>
          <w:sz w:val="84"/>
          <w:szCs w:val="84"/>
        </w:rPr>
        <w:t>六大队部门决算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eastAsia="仿宋_GB2312" w:cs="仿宋_GB2312"/>
          <w:b/>
          <w:sz w:val="28"/>
          <w:szCs w:val="28"/>
        </w:rPr>
      </w:pPr>
      <w:r>
        <w:rPr>
          <w:rFonts w:hint="eastAsia"/>
          <w:b/>
          <w:sz w:val="28"/>
          <w:szCs w:val="28"/>
        </w:rPr>
        <w:t>第一部分湖南省核工业地质局三</w:t>
      </w:r>
      <w:r>
        <w:rPr>
          <w:b/>
          <w:sz w:val="28"/>
          <w:szCs w:val="28"/>
        </w:rPr>
        <w:t>0</w:t>
      </w:r>
      <w:r>
        <w:rPr>
          <w:rFonts w:hint="eastAsia"/>
          <w:b/>
          <w:sz w:val="28"/>
          <w:szCs w:val="28"/>
        </w:rPr>
        <w:t>六大队概况</w:t>
      </w:r>
    </w:p>
    <w:p>
      <w:pPr>
        <w:pStyle w:val="9"/>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pPr>
        <w:pStyle w:val="9"/>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二、机构设置</w:t>
      </w:r>
    </w:p>
    <w:p>
      <w:pPr>
        <w:pStyle w:val="9"/>
        <w:spacing w:line="50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2021</w:t>
      </w:r>
      <w:r>
        <w:rPr>
          <w:rFonts w:hint="eastAsia" w:hAnsi="仿宋_GB2312"/>
          <w:b/>
          <w:sz w:val="28"/>
          <w:szCs w:val="28"/>
        </w:rPr>
        <w:t>年度部门决算表</w:t>
      </w:r>
    </w:p>
    <w:p>
      <w:pPr>
        <w:pStyle w:val="9"/>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pPr>
        <w:pStyle w:val="9"/>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pPr>
        <w:pStyle w:val="9"/>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pPr>
        <w:pStyle w:val="9"/>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pPr>
        <w:pStyle w:val="9"/>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pPr>
        <w:pStyle w:val="9"/>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六、一般公共预算财政拨款基本支出决算明细表</w:t>
      </w:r>
    </w:p>
    <w:p>
      <w:pPr>
        <w:pStyle w:val="9"/>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七、一般公共预算财政拨款“三公”经费支出决算表</w:t>
      </w:r>
    </w:p>
    <w:p>
      <w:pPr>
        <w:pStyle w:val="9"/>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八、政府性基金预算财政拨款收入支出决算表</w:t>
      </w:r>
    </w:p>
    <w:p>
      <w:pPr>
        <w:pStyle w:val="9"/>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9"/>
        <w:spacing w:line="50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2021</w:t>
      </w:r>
      <w:r>
        <w:rPr>
          <w:rFonts w:hint="eastAsia" w:hAnsi="仿宋_GB2312"/>
          <w:b/>
          <w:sz w:val="28"/>
          <w:szCs w:val="28"/>
        </w:rPr>
        <w:t>年度部门决算情况说明</w:t>
      </w:r>
    </w:p>
    <w:p>
      <w:pPr>
        <w:pStyle w:val="9"/>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pPr>
        <w:spacing w:line="50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九、机关运行经费支出说明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9"/>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w:t>
      </w:r>
      <w:r>
        <w:rPr>
          <w:rFonts w:ascii="宋体" w:hAnsi="宋体" w:eastAsia="宋体" w:cs="仿宋_GB2312"/>
          <w:sz w:val="28"/>
          <w:szCs w:val="28"/>
        </w:rPr>
        <w:t>2021</w:t>
      </w:r>
      <w:r>
        <w:rPr>
          <w:rFonts w:hint="eastAsia" w:ascii="宋体" w:hAnsi="宋体" w:eastAsia="宋体" w:cs="仿宋_GB2312"/>
          <w:sz w:val="28"/>
          <w:szCs w:val="28"/>
        </w:rPr>
        <w:t>年</w:t>
      </w:r>
      <w:r>
        <w:rPr>
          <w:rFonts w:hint="eastAsia" w:ascii="仿宋_GB2312" w:hAnsi="仿宋_GB2312" w:eastAsia="宋体" w:cs="仿宋_GB2312"/>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Calibri" w:eastAsia="宋体" w:cs="Times New Roman"/>
          <w:color w:val="auto"/>
          <w:kern w:val="2"/>
          <w:sz w:val="72"/>
          <w:szCs w:val="72"/>
        </w:rPr>
      </w:pPr>
    </w:p>
    <w:p>
      <w:pPr>
        <w:pStyle w:val="9"/>
        <w:jc w:val="center"/>
        <w:rPr>
          <w:rFonts w:hint="eastAsia" w:ascii="Calibri" w:eastAsia="宋体" w:cs="Times New Roman"/>
          <w:color w:val="auto"/>
          <w:kern w:val="2"/>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湖南省核工业地质局三</w:t>
      </w:r>
      <w:r>
        <w:rPr>
          <w:sz w:val="84"/>
          <w:szCs w:val="84"/>
        </w:rPr>
        <w:t>0</w:t>
      </w:r>
      <w:r>
        <w:rPr>
          <w:rFonts w:hint="eastAsia"/>
          <w:sz w:val="84"/>
          <w:szCs w:val="84"/>
        </w:rPr>
        <w:t>六大队概况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1"/>
        </w:numPr>
        <w:ind w:firstLineChars="0"/>
        <w:jc w:val="left"/>
        <w:rPr>
          <w:rFonts w:ascii="黑体" w:hAnsi="黑体" w:eastAsia="黑体"/>
          <w:bCs/>
          <w:kern w:val="0"/>
          <w:sz w:val="32"/>
          <w:szCs w:val="32"/>
        </w:rPr>
      </w:pPr>
      <w:r>
        <w:rPr>
          <w:rFonts w:hint="eastAsia" w:ascii="黑体" w:hAnsi="黑体" w:eastAsia="黑体"/>
          <w:bCs/>
          <w:kern w:val="0"/>
          <w:sz w:val="32"/>
          <w:szCs w:val="32"/>
        </w:rPr>
        <w:t>部门职责</w:t>
      </w:r>
    </w:p>
    <w:p>
      <w:pPr>
        <w:ind w:firstLine="640" w:firstLineChars="200"/>
        <w:jc w:val="left"/>
        <w:rPr>
          <w:sz w:val="32"/>
          <w:szCs w:val="32"/>
        </w:rPr>
      </w:pPr>
      <w:r>
        <w:rPr>
          <w:rFonts w:hint="eastAsia" w:ascii="宋体" w:hAnsi="宋体"/>
          <w:sz w:val="32"/>
          <w:szCs w:val="32"/>
        </w:rPr>
        <w:t>（一）</w:t>
      </w:r>
      <w:r>
        <w:rPr>
          <w:rFonts w:hint="eastAsia"/>
          <w:sz w:val="32"/>
          <w:szCs w:val="32"/>
        </w:rPr>
        <w:t>本单位为湖南省地质院所属二级预算单位，单位性质为财政补助事业单位。</w:t>
      </w:r>
    </w:p>
    <w:p>
      <w:pPr>
        <w:ind w:firstLine="640" w:firstLineChars="200"/>
        <w:jc w:val="left"/>
        <w:rPr>
          <w:rFonts w:ascii="宋体"/>
          <w:sz w:val="32"/>
          <w:szCs w:val="32"/>
        </w:rPr>
      </w:pPr>
      <w:r>
        <w:rPr>
          <w:rFonts w:hint="eastAsia" w:ascii="宋体" w:hAnsi="宋体"/>
          <w:sz w:val="32"/>
          <w:szCs w:val="32"/>
        </w:rPr>
        <w:t>（二）</w:t>
      </w:r>
      <w:r>
        <w:rPr>
          <w:rFonts w:hint="eastAsia"/>
          <w:sz w:val="32"/>
          <w:szCs w:val="32"/>
        </w:rPr>
        <w:t>本单位从事为国家建设提供专业地质调查服务，放射性地质勘查、地下水资源调查、区域工程地质调查、环境工程地质调查、地质灾害防治工程设计与监理、建筑基桩工程施工、地质测绘与工程测量、岩石矿物及水质分析鉴定业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480" w:firstLineChars="150"/>
        <w:rPr>
          <w:rFonts w:ascii="宋体"/>
          <w:bCs/>
          <w:kern w:val="0"/>
          <w:sz w:val="32"/>
          <w:szCs w:val="32"/>
        </w:rPr>
      </w:pPr>
      <w:r>
        <w:rPr>
          <w:rFonts w:hint="eastAsia" w:ascii="宋体" w:hAnsi="宋体"/>
          <w:bCs/>
          <w:kern w:val="0"/>
          <w:sz w:val="32"/>
          <w:szCs w:val="32"/>
        </w:rPr>
        <w:t>（一）内设机构设置。</w:t>
      </w:r>
      <w:r>
        <w:rPr>
          <w:rFonts w:hint="eastAsia" w:ascii="宋体"/>
          <w:bCs/>
          <w:kern w:val="0"/>
          <w:sz w:val="32"/>
          <w:szCs w:val="32"/>
        </w:rPr>
        <w:t>湖南省核工业地质局三</w:t>
      </w:r>
      <w:r>
        <w:rPr>
          <w:rFonts w:ascii="宋体"/>
          <w:bCs/>
          <w:kern w:val="0"/>
          <w:sz w:val="32"/>
          <w:szCs w:val="32"/>
        </w:rPr>
        <w:t>0</w:t>
      </w:r>
      <w:r>
        <w:rPr>
          <w:rFonts w:hint="eastAsia" w:ascii="宋体"/>
          <w:bCs/>
          <w:kern w:val="0"/>
          <w:sz w:val="32"/>
          <w:szCs w:val="32"/>
        </w:rPr>
        <w:t>六大队</w:t>
      </w:r>
      <w:r>
        <w:rPr>
          <w:rFonts w:hint="eastAsia" w:ascii="宋体" w:hAnsi="宋体"/>
          <w:bCs/>
          <w:kern w:val="0"/>
          <w:sz w:val="32"/>
          <w:szCs w:val="32"/>
        </w:rPr>
        <w:t>内设机构包括：职能部门</w:t>
      </w:r>
      <w:r>
        <w:rPr>
          <w:rFonts w:ascii="宋体" w:hAnsi="宋体"/>
          <w:bCs/>
          <w:kern w:val="0"/>
          <w:sz w:val="32"/>
          <w:szCs w:val="32"/>
        </w:rPr>
        <w:t>16</w:t>
      </w:r>
      <w:r>
        <w:rPr>
          <w:rFonts w:hint="eastAsia" w:ascii="宋体" w:hAnsi="宋体"/>
          <w:bCs/>
          <w:kern w:val="0"/>
          <w:sz w:val="32"/>
          <w:szCs w:val="32"/>
        </w:rPr>
        <w:t>个，分别是</w:t>
      </w:r>
      <w:r>
        <w:rPr>
          <w:rFonts w:hint="eastAsia"/>
          <w:sz w:val="32"/>
          <w:szCs w:val="32"/>
        </w:rPr>
        <w:t>办公室、政工办、财务科、劳人科、经管科、监察科、总工办、安卫科、审计科、工会办、平安建设办公室、离退办、团委、后勤服务中心，车江基地办公室、地质勘查院。</w:t>
      </w:r>
    </w:p>
    <w:p>
      <w:pPr>
        <w:widowControl/>
        <w:spacing w:line="600" w:lineRule="exact"/>
        <w:ind w:firstLine="320" w:firstLineChars="100"/>
        <w:rPr>
          <w:rFonts w:ascii="黑体" w:hAnsi="黑体" w:eastAsia="黑体"/>
          <w:sz w:val="28"/>
          <w:szCs w:val="28"/>
        </w:rPr>
      </w:pPr>
      <w:r>
        <w:rPr>
          <w:rFonts w:hint="eastAsia" w:ascii="宋体" w:hAnsi="宋体"/>
          <w:bCs/>
          <w:kern w:val="0"/>
          <w:sz w:val="32"/>
          <w:szCs w:val="32"/>
        </w:rPr>
        <w:t>（二）决算单位构成。</w:t>
      </w:r>
      <w:r>
        <w:rPr>
          <w:rFonts w:hint="eastAsia" w:ascii="宋体"/>
          <w:bCs/>
          <w:kern w:val="0"/>
          <w:sz w:val="32"/>
          <w:szCs w:val="32"/>
        </w:rPr>
        <w:t>湖南省核工业地质局三</w:t>
      </w:r>
      <w:r>
        <w:rPr>
          <w:rFonts w:ascii="宋体"/>
          <w:bCs/>
          <w:kern w:val="0"/>
          <w:sz w:val="32"/>
          <w:szCs w:val="32"/>
        </w:rPr>
        <w:t>0</w:t>
      </w:r>
      <w:r>
        <w:rPr>
          <w:rFonts w:hint="eastAsia" w:ascii="宋体"/>
          <w:bCs/>
          <w:kern w:val="0"/>
          <w:sz w:val="32"/>
          <w:szCs w:val="32"/>
        </w:rPr>
        <w:t>六大队</w:t>
      </w:r>
      <w:r>
        <w:rPr>
          <w:rFonts w:ascii="宋体" w:hAnsi="宋体"/>
          <w:bCs/>
          <w:kern w:val="0"/>
          <w:sz w:val="32"/>
          <w:szCs w:val="32"/>
        </w:rPr>
        <w:t>2021</w:t>
      </w:r>
      <w:r>
        <w:rPr>
          <w:rFonts w:hint="eastAsia" w:ascii="宋体" w:hAnsi="宋体"/>
          <w:bCs/>
          <w:kern w:val="0"/>
          <w:sz w:val="32"/>
          <w:szCs w:val="32"/>
        </w:rPr>
        <w:t>年部门决算汇总公开单位构成包括：湖南省核工业地质局三</w:t>
      </w:r>
      <w:r>
        <w:rPr>
          <w:rFonts w:ascii="宋体"/>
          <w:bCs/>
          <w:kern w:val="0"/>
          <w:sz w:val="32"/>
          <w:szCs w:val="32"/>
        </w:rPr>
        <w:t>0</w:t>
      </w:r>
      <w:r>
        <w:rPr>
          <w:rFonts w:hint="eastAsia" w:ascii="宋体" w:hAnsi="宋体"/>
          <w:bCs/>
          <w:kern w:val="0"/>
          <w:sz w:val="32"/>
          <w:szCs w:val="32"/>
        </w:rPr>
        <w:t>六大队</w:t>
      </w:r>
      <w:r>
        <w:rPr>
          <w:rFonts w:hint="eastAsia" w:ascii="宋体" w:hAnsi="宋体"/>
          <w:sz w:val="32"/>
          <w:szCs w:val="32"/>
        </w:rPr>
        <w:t>本级，为二级预算单位，没有其他下属预算单位。</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宋体"/>
          <w:sz w:val="32"/>
          <w:szCs w:val="32"/>
        </w:rPr>
        <w:sectPr>
          <w:headerReference r:id="rId3" w:type="default"/>
          <w:pgSz w:w="11906" w:h="16838"/>
          <w:pgMar w:top="720" w:right="720" w:bottom="720" w:left="720" w:header="851" w:footer="992" w:gutter="0"/>
          <w:cols w:space="425" w:num="1"/>
          <w:docGrid w:type="lines" w:linePitch="312" w:charSpace="0"/>
        </w:sectPr>
      </w:pPr>
    </w:p>
    <w:p>
      <w:pPr>
        <w:jc w:val="left"/>
        <w:rPr>
          <w:rFonts w:ascii="宋体"/>
          <w:sz w:val="32"/>
          <w:szCs w:val="32"/>
        </w:rPr>
        <w:sectPr>
          <w:pgSz w:w="16838" w:h="11906" w:orient="landscape"/>
          <w:pgMar w:top="851" w:right="720" w:bottom="720" w:left="1134" w:header="851" w:footer="992" w:gutter="0"/>
          <w:cols w:space="425" w:num="1"/>
          <w:docGrid w:type="lines" w:linePitch="312" w:charSpace="0"/>
        </w:sectPr>
      </w:pPr>
      <w:r>
        <w:drawing>
          <wp:inline distT="0" distB="0" distL="0" distR="0">
            <wp:extent cx="9675495" cy="5826760"/>
            <wp:effectExtent l="19050" t="0" r="190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5"/>
                    <a:srcRect/>
                    <a:stretch>
                      <a:fillRect/>
                    </a:stretch>
                  </pic:blipFill>
                  <pic:spPr>
                    <a:xfrm>
                      <a:off x="0" y="0"/>
                      <a:ext cx="9675495" cy="5826760"/>
                    </a:xfrm>
                    <a:prstGeom prst="rect">
                      <a:avLst/>
                    </a:prstGeom>
                    <a:noFill/>
                    <a:ln w="9525">
                      <a:noFill/>
                      <a:miter lim="800000"/>
                      <a:headEnd/>
                      <a:tailEnd/>
                    </a:ln>
                  </pic:spPr>
                </pic:pic>
              </a:graphicData>
            </a:graphic>
          </wp:inline>
        </w:drawing>
      </w: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r>
        <w:drawing>
          <wp:inline distT="0" distB="0" distL="0" distR="0">
            <wp:extent cx="9016365" cy="4359275"/>
            <wp:effectExtent l="19050" t="0" r="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6"/>
                    <a:srcRect/>
                    <a:stretch>
                      <a:fillRect/>
                    </a:stretch>
                  </pic:blipFill>
                  <pic:spPr>
                    <a:xfrm>
                      <a:off x="0" y="0"/>
                      <a:ext cx="9016365" cy="4359275"/>
                    </a:xfrm>
                    <a:prstGeom prst="rect">
                      <a:avLst/>
                    </a:prstGeom>
                    <a:noFill/>
                    <a:ln w="9525">
                      <a:noFill/>
                      <a:miter lim="800000"/>
                      <a:headEnd/>
                      <a:tailEnd/>
                    </a:ln>
                  </pic:spPr>
                </pic:pic>
              </a:graphicData>
            </a:graphic>
          </wp:inline>
        </w:drawing>
      </w:r>
    </w:p>
    <w:p>
      <w:pPr>
        <w:widowControl/>
        <w:jc w:val="left"/>
        <w:rPr>
          <w:rFonts w:ascii="Times New Roman" w:hAnsi="Times New Roman" w:eastAsia="黑体"/>
          <w:bCs/>
          <w:kern w:val="0"/>
          <w:sz w:val="32"/>
          <w:szCs w:val="32"/>
        </w:rPr>
      </w:pPr>
      <w:r>
        <w:drawing>
          <wp:inline distT="0" distB="0" distL="0" distR="0">
            <wp:extent cx="9675495" cy="5890260"/>
            <wp:effectExtent l="19050" t="0" r="1905"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7"/>
                    <a:srcRect/>
                    <a:stretch>
                      <a:fillRect/>
                    </a:stretch>
                  </pic:blipFill>
                  <pic:spPr>
                    <a:xfrm>
                      <a:off x="0" y="0"/>
                      <a:ext cx="9675495" cy="5890260"/>
                    </a:xfrm>
                    <a:prstGeom prst="rect">
                      <a:avLst/>
                    </a:prstGeom>
                    <a:noFill/>
                    <a:ln w="9525">
                      <a:noFill/>
                      <a:miter lim="800000"/>
                      <a:headEnd/>
                      <a:tailEnd/>
                    </a:ln>
                  </pic:spPr>
                </pic:pic>
              </a:graphicData>
            </a:graphic>
          </wp:inline>
        </w:drawing>
      </w:r>
      <w:r>
        <w:rPr>
          <w:rFonts w:ascii="Times New Roman" w:hAnsi="Times New Roman" w:eastAsia="黑体"/>
          <w:bCs/>
          <w:kern w:val="0"/>
          <w:sz w:val="32"/>
          <w:szCs w:val="32"/>
        </w:rPr>
        <w:br w:type="page"/>
      </w:r>
      <w:r>
        <w:drawing>
          <wp:inline distT="0" distB="0" distL="0" distR="0">
            <wp:extent cx="9643745" cy="6124575"/>
            <wp:effectExtent l="19050" t="0" r="0"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8"/>
                    <a:srcRect/>
                    <a:stretch>
                      <a:fillRect/>
                    </a:stretch>
                  </pic:blipFill>
                  <pic:spPr>
                    <a:xfrm>
                      <a:off x="0" y="0"/>
                      <a:ext cx="9643745" cy="6124575"/>
                    </a:xfrm>
                    <a:prstGeom prst="rect">
                      <a:avLst/>
                    </a:prstGeom>
                    <a:noFill/>
                    <a:ln w="9525">
                      <a:noFill/>
                      <a:miter lim="800000"/>
                      <a:headEnd/>
                      <a:tailEnd/>
                    </a:ln>
                  </pic:spPr>
                </pic:pic>
              </a:graphicData>
            </a:graphic>
          </wp:inline>
        </w:drawing>
      </w:r>
    </w:p>
    <w:p>
      <w:pPr>
        <w:widowControl/>
        <w:jc w:val="center"/>
        <w:rPr>
          <w:rFonts w:ascii="Times New Roman" w:hAnsi="Times New Roman" w:eastAsia="方正小标宋_GBK"/>
          <w:color w:val="000000"/>
          <w:kern w:val="0"/>
          <w:sz w:val="36"/>
          <w:szCs w:val="36"/>
        </w:rPr>
      </w:pPr>
      <w:r>
        <w:drawing>
          <wp:inline distT="0" distB="0" distL="0" distR="0">
            <wp:extent cx="7633970" cy="6060440"/>
            <wp:effectExtent l="19050" t="0" r="5080" b="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9"/>
                    <a:srcRect/>
                    <a:stretch>
                      <a:fillRect/>
                    </a:stretch>
                  </pic:blipFill>
                  <pic:spPr>
                    <a:xfrm>
                      <a:off x="0" y="0"/>
                      <a:ext cx="7633970" cy="6060440"/>
                    </a:xfrm>
                    <a:prstGeom prst="rect">
                      <a:avLst/>
                    </a:prstGeom>
                    <a:noFill/>
                    <a:ln w="9525">
                      <a:noFill/>
                      <a:miter lim="800000"/>
                      <a:headEnd/>
                      <a:tailEnd/>
                    </a:ln>
                  </pic:spPr>
                </pic:pic>
              </a:graphicData>
            </a:graphic>
          </wp:inline>
        </w:drawing>
      </w:r>
    </w:p>
    <w:p>
      <w:pPr>
        <w:widowControl/>
        <w:ind w:left="93"/>
        <w:jc w:val="center"/>
        <w:rPr>
          <w:rFonts w:ascii="Times New Roman" w:hAnsi="Times New Roman" w:eastAsia="方正小标宋_GBK"/>
          <w:color w:val="000000"/>
          <w:kern w:val="0"/>
          <w:sz w:val="36"/>
          <w:szCs w:val="21"/>
        </w:rPr>
      </w:pPr>
      <w:r>
        <w:drawing>
          <wp:inline distT="0" distB="0" distL="0" distR="0">
            <wp:extent cx="9664700" cy="5858510"/>
            <wp:effectExtent l="19050" t="0" r="0" b="0"/>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noChangeArrowheads="true"/>
                    </pic:cNvPicPr>
                  </pic:nvPicPr>
                  <pic:blipFill>
                    <a:blip r:embed="rId10"/>
                    <a:srcRect/>
                    <a:stretch>
                      <a:fillRect/>
                    </a:stretch>
                  </pic:blipFill>
                  <pic:spPr>
                    <a:xfrm>
                      <a:off x="0" y="0"/>
                      <a:ext cx="9664700" cy="5858510"/>
                    </a:xfrm>
                    <a:prstGeom prst="rect">
                      <a:avLst/>
                    </a:prstGeom>
                    <a:noFill/>
                    <a:ln w="9525">
                      <a:noFill/>
                      <a:miter lim="800000"/>
                      <a:headEnd/>
                      <a:tailEnd/>
                    </a:ln>
                  </pic:spPr>
                </pic:pic>
              </a:graphicData>
            </a:graphic>
          </wp:inline>
        </w:drawing>
      </w:r>
    </w:p>
    <w:p>
      <w:pPr>
        <w:widowControl/>
        <w:ind w:left="93"/>
        <w:jc w:val="center"/>
        <w:rPr>
          <w:rFonts w:ascii="Times New Roman" w:hAnsi="Times New Roman" w:eastAsia="方正小标宋_GBK"/>
          <w:color w:val="000000"/>
          <w:kern w:val="0"/>
          <w:sz w:val="36"/>
          <w:szCs w:val="21"/>
        </w:rPr>
      </w:pPr>
      <w:r>
        <w:drawing>
          <wp:inline distT="0" distB="0" distL="0" distR="0">
            <wp:extent cx="9611995" cy="1754505"/>
            <wp:effectExtent l="19050" t="0" r="8255" b="0"/>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noChangeArrowheads="true"/>
                    </pic:cNvPicPr>
                  </pic:nvPicPr>
                  <pic:blipFill>
                    <a:blip r:embed="rId11"/>
                    <a:srcRect/>
                    <a:stretch>
                      <a:fillRect/>
                    </a:stretch>
                  </pic:blipFill>
                  <pic:spPr>
                    <a:xfrm>
                      <a:off x="0" y="0"/>
                      <a:ext cx="9611995" cy="1754505"/>
                    </a:xfrm>
                    <a:prstGeom prst="rect">
                      <a:avLst/>
                    </a:prstGeom>
                    <a:noFill/>
                    <a:ln w="9525">
                      <a:noFill/>
                      <a:miter lim="800000"/>
                      <a:headEnd/>
                      <a:tailEnd/>
                    </a:ln>
                  </pic:spPr>
                </pic:pic>
              </a:graphicData>
            </a:graphic>
          </wp:inline>
        </w:drawing>
      </w:r>
    </w:p>
    <w:p>
      <w:pPr>
        <w:widowControl/>
        <w:jc w:val="left"/>
        <w:rPr>
          <w:rFonts w:ascii="Times New Roman" w:hAnsi="Times New Roman" w:eastAsia="仿宋_GB2312"/>
          <w:bCs/>
          <w:kern w:val="0"/>
          <w:szCs w:val="21"/>
        </w:rPr>
      </w:pPr>
    </w:p>
    <w:p>
      <w:pPr>
        <w:widowControl/>
        <w:jc w:val="center"/>
        <w:rPr>
          <w:rFonts w:hint="eastAsia" w:ascii="Times New Roman" w:hAnsi="Times New Roman" w:eastAsia="方正小标宋_GBK"/>
          <w:kern w:val="0"/>
          <w:sz w:val="36"/>
          <w:szCs w:val="36"/>
        </w:rPr>
      </w:pPr>
      <w:r>
        <w:rPr>
          <w:rFonts w:ascii="Times New Roman" w:hAnsi="Times New Roman" w:eastAsia="仿宋_GB2312"/>
          <w:bCs/>
          <w:kern w:val="0"/>
          <w:szCs w:val="21"/>
        </w:rPr>
        <w:br w:type="page"/>
      </w:r>
      <w:r>
        <w:rPr>
          <w:rFonts w:hint="eastAsia" w:ascii="Times New Roman" w:hAnsi="Times New Roman" w:eastAsia="方正小标宋_GBK"/>
          <w:kern w:val="0"/>
          <w:sz w:val="36"/>
          <w:szCs w:val="36"/>
        </w:rPr>
        <w:t>政府性基金预算财政拨款收入支出决算表</w:t>
      </w:r>
    </w:p>
    <w:p>
      <w:pPr>
        <w:widowControl/>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    </w:t>
      </w:r>
      <w:r>
        <w:rPr>
          <w:rFonts w:hint="eastAsia" w:ascii="Times New Roman" w:hAnsi="Times New Roman" w:eastAsia="仿宋_GB2312"/>
          <w:color w:val="000000"/>
          <w:kern w:val="0"/>
          <w:szCs w:val="21"/>
        </w:rPr>
        <w:t>部门：湖南省核工业地质局三</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六大队</w:t>
      </w:r>
      <w:r>
        <w:rPr>
          <w:rFonts w:hint="eastAsia" w:ascii="Times New Roman" w:hAnsi="Times New Roman" w:eastAsia="仿宋_GB2312"/>
          <w:color w:val="000000"/>
          <w:kern w:val="0"/>
          <w:szCs w:val="21"/>
          <w:lang w:val="en-US" w:eastAsia="zh-CN"/>
        </w:rPr>
        <w:t xml:space="preserve">                                                                                                   </w:t>
      </w: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08</w:t>
      </w:r>
      <w:r>
        <w:rPr>
          <w:rFonts w:hint="eastAsia" w:ascii="Times New Roman" w:hAnsi="Times New Roman" w:eastAsia="仿宋_GB2312"/>
          <w:color w:val="000000"/>
          <w:kern w:val="0"/>
          <w:szCs w:val="21"/>
        </w:rPr>
        <w:t>表</w:t>
      </w:r>
    </w:p>
    <w:p>
      <w:pPr>
        <w:widowControl/>
        <w:jc w:val="righ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项目</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年初结转和结余</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本年收入</w:t>
            </w:r>
          </w:p>
        </w:tc>
        <w:tc>
          <w:tcPr>
            <w:tcW w:w="6000" w:type="dxa"/>
            <w:gridSpan w:val="3"/>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本年支出</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功能分类科目编码</w:t>
            </w:r>
          </w:p>
        </w:tc>
        <w:tc>
          <w:tcPr>
            <w:tcW w:w="132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科目名称</w:t>
            </w:r>
          </w:p>
        </w:tc>
        <w:tc>
          <w:tcPr>
            <w:tcW w:w="2000" w:type="dxa"/>
            <w:vMerge w:val="continue"/>
            <w:vAlign w:val="center"/>
          </w:tcPr>
          <w:p>
            <w:pPr>
              <w:widowControl/>
              <w:jc w:val="left"/>
              <w:rPr>
                <w:rFonts w:ascii="Times New Roman" w:hAnsi="Times New Roman" w:eastAsia="仿宋_GB2312"/>
                <w:b/>
                <w:kern w:val="0"/>
                <w:szCs w:val="21"/>
              </w:rPr>
            </w:pPr>
          </w:p>
        </w:tc>
        <w:tc>
          <w:tcPr>
            <w:tcW w:w="2000" w:type="dxa"/>
            <w:vMerge w:val="continue"/>
            <w:vAlign w:val="center"/>
          </w:tcPr>
          <w:p>
            <w:pPr>
              <w:widowControl/>
              <w:jc w:val="left"/>
              <w:rPr>
                <w:rFonts w:ascii="Times New Roman" w:hAnsi="Times New Roman" w:eastAsia="仿宋_GB2312"/>
                <w:b/>
                <w:kern w:val="0"/>
                <w:szCs w:val="21"/>
              </w:rPr>
            </w:pP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小计</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基本支出</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项目支出</w:t>
            </w:r>
          </w:p>
        </w:tc>
        <w:tc>
          <w:tcPr>
            <w:tcW w:w="2000" w:type="dxa"/>
            <w:vMerge w:val="continue"/>
            <w:vAlign w:val="center"/>
          </w:tcPr>
          <w:p>
            <w:pPr>
              <w:widowControl/>
              <w:jc w:val="left"/>
              <w:rPr>
                <w:rFonts w:ascii="Times New Roman" w:hAnsi="Times New Roman" w:eastAsia="仿宋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kern w:val="0"/>
                <w:szCs w:val="21"/>
              </w:rPr>
            </w:pPr>
          </w:p>
        </w:tc>
        <w:tc>
          <w:tcPr>
            <w:tcW w:w="132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120" w:type="dxa"/>
            <w:vMerge w:val="continue"/>
            <w:vAlign w:val="center"/>
          </w:tcPr>
          <w:p>
            <w:pPr>
              <w:widowControl/>
              <w:jc w:val="left"/>
              <w:rPr>
                <w:rFonts w:ascii="Times New Roman" w:hAnsi="Times New Roman" w:eastAsia="仿宋_GB2312"/>
                <w:kern w:val="0"/>
                <w:szCs w:val="21"/>
              </w:rPr>
            </w:pPr>
          </w:p>
        </w:tc>
        <w:tc>
          <w:tcPr>
            <w:tcW w:w="132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栏次</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3</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4</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5</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合计</w:t>
            </w:r>
          </w:p>
        </w:tc>
        <w:tc>
          <w:tcPr>
            <w:tcW w:w="2000" w:type="dxa"/>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rPr>
              <w:t>　</w:t>
            </w:r>
            <w:r>
              <w:rPr>
                <w:rFonts w:hint="eastAsia" w:ascii="Times New Roman" w:hAnsi="Times New Roman" w:eastAsia="仿宋_GB2312"/>
                <w:kern w:val="0"/>
                <w:szCs w:val="21"/>
                <w:lang w:val="en-US" w:eastAsia="zh-CN"/>
              </w:rPr>
              <w:t>0</w:t>
            </w:r>
          </w:p>
        </w:tc>
        <w:tc>
          <w:tcPr>
            <w:tcW w:w="200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lang w:val="en-US" w:eastAsia="zh-CN"/>
              </w:rPr>
              <w:t>0</w:t>
            </w:r>
            <w:r>
              <w:rPr>
                <w:rFonts w:hint="eastAsia" w:ascii="Times New Roman" w:hAnsi="Times New Roman" w:eastAsia="仿宋_GB2312"/>
                <w:kern w:val="0"/>
                <w:szCs w:val="21"/>
              </w:rPr>
              <w:t>　</w:t>
            </w:r>
          </w:p>
        </w:tc>
        <w:tc>
          <w:tcPr>
            <w:tcW w:w="200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lang w:val="en-US" w:eastAsia="zh-CN"/>
              </w:rPr>
              <w:t>0</w:t>
            </w:r>
            <w:r>
              <w:rPr>
                <w:rFonts w:hint="eastAsia" w:ascii="Times New Roman" w:hAnsi="Times New Roman" w:eastAsia="仿宋_GB2312"/>
                <w:kern w:val="0"/>
                <w:szCs w:val="21"/>
              </w:rPr>
              <w:t>　</w:t>
            </w:r>
          </w:p>
        </w:tc>
        <w:tc>
          <w:tcPr>
            <w:tcW w:w="2000" w:type="dxa"/>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rPr>
              <w:t>　</w:t>
            </w:r>
            <w:r>
              <w:rPr>
                <w:rFonts w:hint="eastAsia" w:ascii="Times New Roman" w:hAnsi="Times New Roman" w:eastAsia="仿宋_GB2312"/>
                <w:kern w:val="0"/>
                <w:szCs w:val="21"/>
                <w:lang w:val="en-US" w:eastAsia="zh-CN"/>
              </w:rPr>
              <w:t>0</w:t>
            </w:r>
          </w:p>
        </w:tc>
        <w:tc>
          <w:tcPr>
            <w:tcW w:w="2000" w:type="dxa"/>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rPr>
              <w:t>　</w:t>
            </w:r>
            <w:r>
              <w:rPr>
                <w:rFonts w:hint="eastAsia" w:ascii="Times New Roman" w:hAnsi="Times New Roman" w:eastAsia="仿宋_GB2312"/>
                <w:kern w:val="0"/>
                <w:szCs w:val="21"/>
                <w:lang w:val="en-US" w:eastAsia="zh-CN"/>
              </w:rPr>
              <w:t>0</w:t>
            </w:r>
          </w:p>
        </w:tc>
        <w:tc>
          <w:tcPr>
            <w:tcW w:w="200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lang w:val="en-US" w:eastAsia="zh-CN"/>
              </w:rPr>
              <w:t>0</w:t>
            </w: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bl>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注：本表反映部门本年度政府性基金预算财政拨款收入、支出及结转和结余情况</w:t>
      </w:r>
    </w:p>
    <w:p>
      <w:pPr>
        <w:widowControl/>
        <w:jc w:val="left"/>
        <w:rPr>
          <w:rFonts w:ascii="Times New Roman" w:hAnsi="Times New Roman" w:eastAsia="仿宋_GB2312"/>
          <w:kern w:val="0"/>
          <w:szCs w:val="21"/>
        </w:rPr>
      </w:pPr>
      <w:r>
        <w:rPr>
          <w:rFonts w:hint="eastAsia" w:ascii="Times New Roman" w:hAnsi="Times New Roman" w:eastAsia="仿宋_GB2312"/>
          <w:color w:val="000000"/>
          <w:kern w:val="0"/>
          <w:szCs w:val="21"/>
        </w:rPr>
        <w:t>湖南省核工业地质局三</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六大队</w:t>
      </w:r>
      <w:r>
        <w:rPr>
          <w:rFonts w:hint="eastAsia" w:ascii="Times New Roman" w:hAnsi="Times New Roman" w:eastAsia="仿宋_GB2312"/>
          <w:kern w:val="0"/>
          <w:szCs w:val="21"/>
        </w:rPr>
        <w:t>没有政府性基金收入，也没有使用政府性基金安排的支出，故本表无数据。</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497" w:hRule="atLeast"/>
        </w:trPr>
        <w:tc>
          <w:tcPr>
            <w:tcW w:w="8680" w:type="dxa"/>
            <w:gridSpan w:val="7"/>
            <w:tcBorders>
              <w:top w:val="nil"/>
              <w:left w:val="nil"/>
              <w:bottom w:val="nil"/>
              <w:right w:val="nil"/>
            </w:tcBorders>
            <w:shd w:val="clear" w:color="000000" w:fill="FFFFFF"/>
            <w:noWrap/>
            <w:vAlign w:val="center"/>
          </w:tcPr>
          <w:p>
            <w:pPr>
              <w:widowControl/>
              <w:jc w:val="left"/>
              <w:rPr>
                <w:rFonts w:ascii="宋体" w:cs="宋体"/>
                <w:kern w:val="0"/>
                <w:sz w:val="20"/>
                <w:szCs w:val="20"/>
              </w:rPr>
            </w:pPr>
            <w:r>
              <w:rPr>
                <w:rFonts w:hint="eastAsia" w:ascii="宋体" w:hAnsi="宋体" w:cs="宋体"/>
                <w:color w:val="000000"/>
                <w:kern w:val="0"/>
                <w:sz w:val="20"/>
                <w:szCs w:val="20"/>
              </w:rPr>
              <w:t>部门：湖南省核工业地质局三</w:t>
            </w:r>
            <w:r>
              <w:rPr>
                <w:rFonts w:ascii="宋体" w:cs="宋体"/>
                <w:color w:val="000000"/>
                <w:kern w:val="0"/>
                <w:sz w:val="20"/>
                <w:szCs w:val="20"/>
              </w:rPr>
              <w:t>0</w:t>
            </w:r>
            <w:r>
              <w:rPr>
                <w:rFonts w:hint="eastAsia" w:ascii="宋体" w:hAnsi="宋体" w:cs="宋体"/>
                <w:color w:val="000000"/>
                <w:kern w:val="0"/>
                <w:sz w:val="20"/>
                <w:szCs w:val="20"/>
              </w:rPr>
              <w:t>六大队</w:t>
            </w: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项目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cs="宋体"/>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基本支出</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宋体"/>
                <w:kern w:val="0"/>
                <w:sz w:val="24"/>
                <w:szCs w:val="24"/>
              </w:rPr>
            </w:pPr>
            <w:r>
              <w:rPr>
                <w:rFonts w:hint="eastAsia" w:ascii="宋体" w:hAnsi="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lang w:val="en-US" w:eastAsia="zh-CN"/>
              </w:rPr>
              <w:t>0</w:t>
            </w: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szCs w:val="24"/>
                <w:lang w:val="en-US" w:eastAsia="zh-CN"/>
              </w:rPr>
            </w:pPr>
            <w:r>
              <w:rPr>
                <w:rFonts w:hint="eastAsia" w:ascii="宋体" w:hAnsi="宋体" w:cs="宋体"/>
                <w:kern w:val="0"/>
                <w:sz w:val="24"/>
                <w:szCs w:val="24"/>
              </w:rPr>
              <w:t>　</w:t>
            </w:r>
            <w:r>
              <w:rPr>
                <w:rFonts w:hint="eastAsia" w:ascii="宋体" w:hAnsi="宋体" w:cs="宋体"/>
                <w:kern w:val="0"/>
                <w:sz w:val="24"/>
                <w:szCs w:val="24"/>
                <w:lang w:val="en-US" w:eastAsia="zh-CN"/>
              </w:rPr>
              <w:t>0</w:t>
            </w:r>
          </w:p>
        </w:tc>
        <w:tc>
          <w:tcPr>
            <w:tcW w:w="3827"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lang w:val="en-US" w:eastAsia="zh-CN"/>
              </w:rPr>
              <w:t>0</w:t>
            </w: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t>注：本表反映部门本年度国有资本经营预算财政拨款支出情况。</w:t>
            </w:r>
          </w:p>
          <w:p>
            <w:pPr>
              <w:widowControl/>
              <w:jc w:val="left"/>
              <w:rPr>
                <w:rFonts w:hint="eastAsia" w:ascii="宋体" w:hAnsi="宋体" w:eastAsia="仿宋_GB2312" w:cs="宋体"/>
                <w:kern w:val="0"/>
                <w:sz w:val="24"/>
                <w:szCs w:val="24"/>
                <w:lang w:eastAsia="zh-CN"/>
              </w:rPr>
            </w:pPr>
            <w:r>
              <w:rPr>
                <w:rFonts w:hint="eastAsia" w:ascii="宋体" w:hAnsi="宋体" w:eastAsia="宋体" w:cs="宋体"/>
                <w:kern w:val="0"/>
                <w:sz w:val="24"/>
                <w:szCs w:val="24"/>
              </w:rPr>
              <w:t>湖南省核工业地质局三0六大队没有</w:t>
            </w:r>
            <w:r>
              <w:rPr>
                <w:rFonts w:hint="eastAsia" w:ascii="宋体" w:hAnsi="宋体" w:eastAsia="宋体" w:cs="宋体"/>
                <w:kern w:val="0"/>
                <w:sz w:val="24"/>
                <w:szCs w:val="24"/>
                <w:lang w:eastAsia="zh-CN"/>
              </w:rPr>
              <w:t>国有资本经营收入</w:t>
            </w:r>
            <w:r>
              <w:rPr>
                <w:rFonts w:hint="eastAsia" w:ascii="宋体" w:hAnsi="宋体" w:eastAsia="宋体" w:cs="宋体"/>
                <w:kern w:val="0"/>
                <w:sz w:val="24"/>
                <w:szCs w:val="24"/>
              </w:rPr>
              <w:t>，也没有使用</w:t>
            </w:r>
            <w:r>
              <w:rPr>
                <w:rFonts w:hint="eastAsia" w:ascii="宋体" w:hAnsi="宋体" w:eastAsia="宋体" w:cs="宋体"/>
                <w:kern w:val="0"/>
                <w:sz w:val="24"/>
                <w:szCs w:val="24"/>
                <w:lang w:eastAsia="zh-CN"/>
              </w:rPr>
              <w:t>国有资本经营支出</w:t>
            </w:r>
            <w:r>
              <w:rPr>
                <w:rFonts w:hint="eastAsia" w:ascii="宋体" w:hAnsi="宋体" w:eastAsia="宋体" w:cs="宋体"/>
                <w:kern w:val="0"/>
                <w:sz w:val="24"/>
                <w:szCs w:val="24"/>
              </w:rPr>
              <w:t>，故本表无数据</w:t>
            </w:r>
            <w:r>
              <w:rPr>
                <w:rFonts w:hint="eastAsia" w:ascii="宋体" w:hAnsi="宋体" w:eastAsia="宋体" w:cs="宋体"/>
                <w:kern w:val="0"/>
                <w:sz w:val="24"/>
                <w:szCs w:val="24"/>
                <w:lang w:eastAsia="zh-CN"/>
              </w:rPr>
              <w:t>。</w:t>
            </w:r>
          </w:p>
        </w:tc>
      </w:tr>
    </w:tbl>
    <w:p>
      <w:pPr>
        <w:pStyle w:val="9"/>
        <w:rPr>
          <w:sz w:val="72"/>
          <w:szCs w:val="72"/>
        </w:rPr>
        <w:sectPr>
          <w:pgSz w:w="16838" w:h="11906" w:orient="landscape"/>
          <w:pgMar w:top="567"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2021</w:t>
      </w:r>
      <w:r>
        <w:rPr>
          <w:rFonts w:hint="eastAsia"/>
          <w:sz w:val="70"/>
          <w:szCs w:val="70"/>
        </w:rPr>
        <w:t>年度部门决算情况说明</w:t>
      </w:r>
    </w:p>
    <w:p>
      <w:pPr>
        <w:pStyle w:val="9"/>
        <w:rPr>
          <w:rFonts w:hAnsi="黑体"/>
          <w:b/>
          <w:sz w:val="32"/>
          <w:szCs w:val="32"/>
        </w:rPr>
      </w:pPr>
      <w:r>
        <w:rPr>
          <w:sz w:val="70"/>
          <w:szCs w:val="70"/>
        </w:rPr>
        <w:br w:type="page"/>
      </w:r>
      <w:r>
        <w:rPr>
          <w:rFonts w:hint="eastAsia" w:hAnsi="黑体"/>
          <w:b/>
          <w:sz w:val="32"/>
          <w:szCs w:val="32"/>
        </w:rPr>
        <w:t>一、收入支出决算总体情况说明</w:t>
      </w:r>
    </w:p>
    <w:p>
      <w:pPr>
        <w:pStyle w:val="9"/>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年度收入总计</w:t>
      </w:r>
      <w:r>
        <w:rPr>
          <w:rFonts w:ascii="宋体" w:hAnsi="宋体" w:eastAsia="宋体"/>
          <w:sz w:val="32"/>
          <w:szCs w:val="32"/>
        </w:rPr>
        <w:t>4936.17</w:t>
      </w:r>
      <w:r>
        <w:rPr>
          <w:rFonts w:hint="eastAsia" w:ascii="宋体" w:hAnsi="宋体" w:eastAsia="宋体"/>
          <w:sz w:val="32"/>
          <w:szCs w:val="32"/>
        </w:rPr>
        <w:t>万元（含上年结转和结余资金62.31万元），与上年</w:t>
      </w:r>
      <w:r>
        <w:rPr>
          <w:rFonts w:ascii="宋体" w:hAnsi="宋体" w:eastAsia="宋体"/>
          <w:sz w:val="32"/>
          <w:szCs w:val="32"/>
        </w:rPr>
        <w:t>5575.81</w:t>
      </w:r>
      <w:r>
        <w:rPr>
          <w:rFonts w:hint="eastAsia" w:ascii="宋体" w:hAnsi="宋体" w:eastAsia="宋体"/>
          <w:sz w:val="32"/>
          <w:szCs w:val="32"/>
        </w:rPr>
        <w:t>万元相比，减少</w:t>
      </w:r>
      <w:r>
        <w:rPr>
          <w:rFonts w:ascii="宋体" w:hAnsi="宋体" w:eastAsia="宋体"/>
          <w:sz w:val="32"/>
          <w:szCs w:val="32"/>
        </w:rPr>
        <w:t>639.64</w:t>
      </w:r>
      <w:r>
        <w:rPr>
          <w:rFonts w:hint="eastAsia" w:ascii="宋体" w:hAnsi="宋体" w:eastAsia="宋体"/>
          <w:sz w:val="32"/>
          <w:szCs w:val="32"/>
        </w:rPr>
        <w:t>万元，减少</w:t>
      </w:r>
      <w:r>
        <w:rPr>
          <w:rFonts w:ascii="宋体" w:hAnsi="宋体" w:eastAsia="宋体"/>
          <w:sz w:val="32"/>
          <w:szCs w:val="32"/>
        </w:rPr>
        <w:t>11.47%</w:t>
      </w:r>
      <w:r>
        <w:rPr>
          <w:rFonts w:hint="eastAsia" w:ascii="宋体" w:hAnsi="宋体" w:eastAsia="宋体"/>
          <w:sz w:val="32"/>
          <w:szCs w:val="32"/>
        </w:rPr>
        <w:t>，主要是因为上结转金额大导致的。总支出为</w:t>
      </w:r>
      <w:r>
        <w:rPr>
          <w:rFonts w:ascii="宋体" w:hAnsi="宋体" w:eastAsia="宋体"/>
          <w:sz w:val="32"/>
          <w:szCs w:val="32"/>
        </w:rPr>
        <w:t>4936.17</w:t>
      </w:r>
      <w:r>
        <w:rPr>
          <w:rFonts w:hint="eastAsia" w:ascii="宋体" w:hAnsi="宋体" w:eastAsia="宋体"/>
          <w:sz w:val="32"/>
          <w:szCs w:val="32"/>
        </w:rPr>
        <w:t>万元（含年末结转和结余资金90.61万元），比上年</w:t>
      </w:r>
      <w:r>
        <w:rPr>
          <w:rFonts w:ascii="宋体" w:hAnsi="宋体" w:eastAsia="宋体"/>
          <w:sz w:val="32"/>
          <w:szCs w:val="32"/>
        </w:rPr>
        <w:t>5575.81</w:t>
      </w:r>
      <w:r>
        <w:rPr>
          <w:rFonts w:hint="eastAsia" w:ascii="宋体" w:hAnsi="宋体" w:eastAsia="宋体"/>
          <w:sz w:val="32"/>
          <w:szCs w:val="32"/>
        </w:rPr>
        <w:t>万元减少</w:t>
      </w:r>
      <w:r>
        <w:rPr>
          <w:rFonts w:ascii="宋体" w:hAnsi="宋体" w:eastAsia="宋体"/>
          <w:sz w:val="32"/>
          <w:szCs w:val="32"/>
        </w:rPr>
        <w:t>639.64</w:t>
      </w:r>
      <w:r>
        <w:rPr>
          <w:rFonts w:hint="eastAsia" w:ascii="宋体" w:hAnsi="宋体" w:eastAsia="宋体"/>
          <w:sz w:val="32"/>
          <w:szCs w:val="32"/>
        </w:rPr>
        <w:t>万元，减少</w:t>
      </w:r>
      <w:r>
        <w:rPr>
          <w:rFonts w:ascii="宋体" w:hAnsi="宋体" w:eastAsia="宋体"/>
          <w:sz w:val="32"/>
          <w:szCs w:val="32"/>
        </w:rPr>
        <w:t>11.47%</w:t>
      </w:r>
      <w:r>
        <w:rPr>
          <w:rFonts w:hint="eastAsia" w:ascii="宋体" w:hAnsi="宋体" w:eastAsia="宋体"/>
          <w:sz w:val="32"/>
          <w:szCs w:val="32"/>
        </w:rPr>
        <w:t>，主要是上年结转的财政项目及综治奖资金在当年支出导致的。</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年度收入合计</w:t>
      </w:r>
      <w:r>
        <w:rPr>
          <w:rFonts w:ascii="宋体" w:hAnsi="宋体" w:eastAsia="宋体"/>
          <w:sz w:val="32"/>
          <w:szCs w:val="32"/>
        </w:rPr>
        <w:t>4873.86</w:t>
      </w:r>
      <w:r>
        <w:rPr>
          <w:rFonts w:hint="eastAsia" w:ascii="宋体" w:hAnsi="宋体" w:eastAsia="宋体"/>
          <w:sz w:val="32"/>
          <w:szCs w:val="32"/>
        </w:rPr>
        <w:t>万元，其中：财政拨款收入</w:t>
      </w:r>
      <w:r>
        <w:rPr>
          <w:rFonts w:ascii="宋体" w:hAnsi="宋体" w:eastAsia="宋体"/>
          <w:sz w:val="32"/>
          <w:szCs w:val="32"/>
        </w:rPr>
        <w:t>3756.4</w:t>
      </w:r>
      <w:r>
        <w:rPr>
          <w:rFonts w:hint="eastAsia" w:ascii="宋体" w:hAnsi="宋体" w:eastAsia="宋体"/>
          <w:sz w:val="32"/>
          <w:szCs w:val="32"/>
        </w:rPr>
        <w:t>万元，占</w:t>
      </w:r>
      <w:r>
        <w:rPr>
          <w:rFonts w:ascii="宋体" w:hAnsi="宋体" w:eastAsia="宋体"/>
          <w:sz w:val="32"/>
          <w:szCs w:val="32"/>
        </w:rPr>
        <w:t>77.07%</w:t>
      </w:r>
      <w:r>
        <w:rPr>
          <w:rFonts w:hint="eastAsia" w:ascii="宋体" w:hAnsi="宋体" w:eastAsia="宋体"/>
          <w:sz w:val="32"/>
          <w:szCs w:val="32"/>
        </w:rPr>
        <w:t>；上级补助收入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；事业收入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；经营收入</w:t>
      </w:r>
      <w:r>
        <w:rPr>
          <w:rFonts w:ascii="宋体" w:hAnsi="宋体" w:eastAsia="宋体"/>
          <w:sz w:val="32"/>
          <w:szCs w:val="32"/>
        </w:rPr>
        <w:t>1117.46</w:t>
      </w:r>
      <w:r>
        <w:rPr>
          <w:rFonts w:hint="eastAsia" w:ascii="宋体" w:hAnsi="宋体" w:eastAsia="宋体"/>
          <w:sz w:val="32"/>
          <w:szCs w:val="32"/>
        </w:rPr>
        <w:t>万元，占</w:t>
      </w:r>
      <w:r>
        <w:rPr>
          <w:rFonts w:ascii="宋体" w:hAnsi="宋体" w:eastAsia="宋体"/>
          <w:sz w:val="32"/>
          <w:szCs w:val="32"/>
        </w:rPr>
        <w:t>22.93%</w:t>
      </w:r>
      <w:r>
        <w:rPr>
          <w:rFonts w:hint="eastAsia" w:ascii="宋体" w:hAnsi="宋体" w:eastAsia="宋体"/>
          <w:sz w:val="32"/>
          <w:szCs w:val="32"/>
        </w:rPr>
        <w:t>；附属单位上缴收入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；其他收入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年度支出合计</w:t>
      </w:r>
      <w:r>
        <w:rPr>
          <w:rFonts w:ascii="宋体" w:hAnsi="宋体" w:eastAsia="宋体"/>
          <w:sz w:val="32"/>
          <w:szCs w:val="32"/>
        </w:rPr>
        <w:t>4835.26</w:t>
      </w:r>
      <w:r>
        <w:rPr>
          <w:rFonts w:hint="eastAsia" w:ascii="宋体" w:hAnsi="宋体" w:eastAsia="宋体"/>
          <w:sz w:val="32"/>
          <w:szCs w:val="32"/>
        </w:rPr>
        <w:t>万元，其中：基本支出</w:t>
      </w:r>
      <w:r>
        <w:rPr>
          <w:rFonts w:ascii="宋体" w:hAnsi="宋体" w:eastAsia="宋体"/>
          <w:sz w:val="32"/>
          <w:szCs w:val="32"/>
        </w:rPr>
        <w:t>3604.16</w:t>
      </w:r>
      <w:r>
        <w:rPr>
          <w:rFonts w:hint="eastAsia" w:ascii="宋体" w:hAnsi="宋体" w:eastAsia="宋体"/>
          <w:sz w:val="32"/>
          <w:szCs w:val="32"/>
        </w:rPr>
        <w:t>万元，占</w:t>
      </w:r>
      <w:r>
        <w:rPr>
          <w:rFonts w:ascii="宋体" w:hAnsi="宋体" w:eastAsia="宋体"/>
          <w:sz w:val="32"/>
          <w:szCs w:val="32"/>
        </w:rPr>
        <w:t>74.54%</w:t>
      </w:r>
      <w:r>
        <w:rPr>
          <w:rFonts w:hint="eastAsia" w:ascii="宋体" w:hAnsi="宋体" w:eastAsia="宋体"/>
          <w:sz w:val="32"/>
          <w:szCs w:val="32"/>
        </w:rPr>
        <w:t>；项目支出</w:t>
      </w:r>
      <w:r>
        <w:rPr>
          <w:rFonts w:ascii="宋体" w:hAnsi="宋体" w:eastAsia="宋体"/>
          <w:sz w:val="32"/>
          <w:szCs w:val="32"/>
        </w:rPr>
        <w:t>123.94</w:t>
      </w:r>
      <w:r>
        <w:rPr>
          <w:rFonts w:hint="eastAsia" w:ascii="宋体" w:hAnsi="宋体" w:eastAsia="宋体"/>
          <w:sz w:val="32"/>
          <w:szCs w:val="32"/>
        </w:rPr>
        <w:t>万元，占</w:t>
      </w:r>
      <w:r>
        <w:rPr>
          <w:rFonts w:ascii="宋体" w:hAnsi="宋体" w:eastAsia="宋体"/>
          <w:sz w:val="32"/>
          <w:szCs w:val="32"/>
        </w:rPr>
        <w:t>2.56%</w:t>
      </w:r>
      <w:r>
        <w:rPr>
          <w:rFonts w:hint="eastAsia" w:ascii="宋体" w:hAnsi="宋体" w:eastAsia="宋体"/>
          <w:sz w:val="32"/>
          <w:szCs w:val="32"/>
        </w:rPr>
        <w:t>；上缴上级支出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；经营支出</w:t>
      </w:r>
      <w:r>
        <w:rPr>
          <w:rFonts w:ascii="宋体" w:hAnsi="宋体" w:eastAsia="宋体"/>
          <w:sz w:val="32"/>
          <w:szCs w:val="32"/>
        </w:rPr>
        <w:t>1107.16</w:t>
      </w:r>
      <w:r>
        <w:rPr>
          <w:rFonts w:hint="eastAsia" w:ascii="宋体" w:hAnsi="宋体" w:eastAsia="宋体"/>
          <w:sz w:val="32"/>
          <w:szCs w:val="32"/>
        </w:rPr>
        <w:t>万元，占</w:t>
      </w:r>
      <w:r>
        <w:rPr>
          <w:rFonts w:ascii="宋体" w:hAnsi="宋体" w:eastAsia="宋体"/>
          <w:sz w:val="32"/>
          <w:szCs w:val="32"/>
        </w:rPr>
        <w:t>22.9%</w:t>
      </w:r>
      <w:r>
        <w:rPr>
          <w:rFonts w:hint="eastAsia" w:ascii="宋体" w:hAnsi="宋体" w:eastAsia="宋体"/>
          <w:sz w:val="32"/>
          <w:szCs w:val="32"/>
        </w:rPr>
        <w:t>；对附属单位补助支出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ascii="宋体" w:hAnsi="宋体" w:eastAsia="宋体"/>
          <w:sz w:val="32"/>
          <w:szCs w:val="32"/>
        </w:rPr>
      </w:pPr>
      <w:r>
        <w:rPr>
          <w:rFonts w:ascii="宋体" w:hAnsi="宋体" w:eastAsia="宋体"/>
          <w:sz w:val="32"/>
          <w:szCs w:val="32"/>
        </w:rPr>
        <w:t xml:space="preserve">    2021</w:t>
      </w:r>
      <w:r>
        <w:rPr>
          <w:rFonts w:hint="eastAsia" w:ascii="宋体" w:hAnsi="宋体" w:eastAsia="宋体"/>
          <w:sz w:val="32"/>
          <w:szCs w:val="32"/>
        </w:rPr>
        <w:t>年度财政拨款收入总计</w:t>
      </w:r>
      <w:r>
        <w:rPr>
          <w:rFonts w:ascii="宋体" w:hAnsi="宋体" w:eastAsia="宋体"/>
          <w:sz w:val="32"/>
          <w:szCs w:val="32"/>
        </w:rPr>
        <w:t>3818.71</w:t>
      </w:r>
      <w:r>
        <w:rPr>
          <w:rFonts w:hint="eastAsia" w:ascii="宋体" w:hAnsi="宋体" w:eastAsia="宋体"/>
          <w:sz w:val="32"/>
          <w:szCs w:val="32"/>
        </w:rPr>
        <w:t>万元（含上年结转和结余资金62.31万元），与上年</w:t>
      </w:r>
      <w:r>
        <w:rPr>
          <w:rFonts w:ascii="宋体" w:hAnsi="宋体" w:eastAsia="宋体"/>
          <w:sz w:val="32"/>
          <w:szCs w:val="32"/>
        </w:rPr>
        <w:t>5132.18</w:t>
      </w:r>
      <w:r>
        <w:rPr>
          <w:rFonts w:hint="eastAsia" w:ascii="宋体" w:hAnsi="宋体" w:eastAsia="宋体"/>
          <w:sz w:val="32"/>
          <w:szCs w:val="32"/>
        </w:rPr>
        <w:t>万元相比，减少</w:t>
      </w:r>
      <w:r>
        <w:rPr>
          <w:rFonts w:ascii="宋体" w:hAnsi="宋体" w:eastAsia="宋体"/>
          <w:sz w:val="32"/>
          <w:szCs w:val="32"/>
        </w:rPr>
        <w:t>1313.47</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减少</w:t>
      </w:r>
      <w:r>
        <w:rPr>
          <w:rFonts w:ascii="宋体" w:hAnsi="宋体" w:eastAsia="宋体"/>
          <w:sz w:val="32"/>
          <w:szCs w:val="32"/>
        </w:rPr>
        <w:t>25.59%</w:t>
      </w:r>
      <w:r>
        <w:rPr>
          <w:rFonts w:hint="eastAsia" w:ascii="宋体" w:hAnsi="宋体" w:eastAsia="宋体"/>
          <w:sz w:val="32"/>
          <w:szCs w:val="32"/>
        </w:rPr>
        <w:t>，主要是因为财政项目及综治奖资金减少导致的。</w:t>
      </w:r>
      <w:r>
        <w:rPr>
          <w:rFonts w:ascii="宋体" w:hAnsi="宋体" w:eastAsia="宋体"/>
          <w:sz w:val="32"/>
          <w:szCs w:val="32"/>
        </w:rPr>
        <w:t>2021</w:t>
      </w:r>
      <w:r>
        <w:rPr>
          <w:rFonts w:hint="eastAsia" w:ascii="宋体" w:hAnsi="宋体" w:eastAsia="宋体"/>
          <w:sz w:val="32"/>
          <w:szCs w:val="32"/>
        </w:rPr>
        <w:t>年度财政拨款支出为</w:t>
      </w:r>
      <w:r>
        <w:rPr>
          <w:rFonts w:ascii="宋体" w:hAnsi="宋体" w:eastAsia="宋体"/>
          <w:sz w:val="32"/>
          <w:szCs w:val="32"/>
        </w:rPr>
        <w:t>3818.71</w:t>
      </w:r>
      <w:r>
        <w:rPr>
          <w:rFonts w:hint="eastAsia" w:ascii="宋体" w:hAnsi="宋体" w:eastAsia="宋体"/>
          <w:sz w:val="32"/>
          <w:szCs w:val="32"/>
        </w:rPr>
        <w:t>万元（含年末结转和结余资金90.61万元），与上年</w:t>
      </w:r>
      <w:r>
        <w:rPr>
          <w:rFonts w:ascii="宋体" w:hAnsi="宋体" w:eastAsia="宋体"/>
          <w:sz w:val="32"/>
          <w:szCs w:val="32"/>
        </w:rPr>
        <w:t>5132.18</w:t>
      </w:r>
      <w:r>
        <w:rPr>
          <w:rFonts w:hint="eastAsia" w:ascii="宋体" w:hAnsi="宋体" w:eastAsia="宋体"/>
          <w:sz w:val="32"/>
          <w:szCs w:val="32"/>
        </w:rPr>
        <w:t>万元相比，减少</w:t>
      </w:r>
      <w:r>
        <w:rPr>
          <w:rFonts w:ascii="宋体" w:hAnsi="宋体" w:eastAsia="宋体"/>
          <w:sz w:val="32"/>
          <w:szCs w:val="32"/>
        </w:rPr>
        <w:t>1313.47</w:t>
      </w:r>
      <w:r>
        <w:rPr>
          <w:rFonts w:hint="eastAsia" w:ascii="宋体" w:hAnsi="宋体" w:eastAsia="宋体"/>
          <w:sz w:val="32"/>
          <w:szCs w:val="32"/>
        </w:rPr>
        <w:t>万元，减少</w:t>
      </w:r>
      <w:r>
        <w:rPr>
          <w:rFonts w:ascii="宋体" w:hAnsi="宋体" w:eastAsia="宋体"/>
          <w:sz w:val="32"/>
          <w:szCs w:val="32"/>
        </w:rPr>
        <w:t>25.59%</w:t>
      </w:r>
      <w:r>
        <w:rPr>
          <w:rFonts w:hint="eastAsia" w:ascii="宋体" w:hAnsi="宋体" w:eastAsia="宋体"/>
          <w:sz w:val="32"/>
          <w:szCs w:val="32"/>
        </w:rPr>
        <w:t>，主要是因为上年财政结转结余资金较多在本年度形成支出，本年度财政项目及综治奖资金减少导致的。</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9"/>
        <w:ind w:firstLine="800" w:firstLineChars="25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年度财政拨款支出</w:t>
      </w:r>
      <w:r>
        <w:rPr>
          <w:rFonts w:ascii="宋体" w:hAnsi="宋体" w:eastAsia="宋体"/>
          <w:sz w:val="32"/>
          <w:szCs w:val="32"/>
        </w:rPr>
        <w:t>3728.1</w:t>
      </w:r>
      <w:r>
        <w:rPr>
          <w:rFonts w:hint="eastAsia" w:ascii="宋体" w:hAnsi="宋体" w:eastAsia="宋体"/>
          <w:sz w:val="32"/>
          <w:szCs w:val="32"/>
        </w:rPr>
        <w:t>万元，占本年支出合计的</w:t>
      </w:r>
      <w:r>
        <w:rPr>
          <w:rFonts w:ascii="宋体" w:hAnsi="宋体" w:eastAsia="宋体"/>
          <w:sz w:val="32"/>
          <w:szCs w:val="32"/>
        </w:rPr>
        <w:t>77.1%</w:t>
      </w:r>
      <w:r>
        <w:rPr>
          <w:rFonts w:hint="eastAsia" w:ascii="宋体" w:hAnsi="宋体" w:eastAsia="宋体"/>
          <w:sz w:val="32"/>
          <w:szCs w:val="32"/>
        </w:rPr>
        <w:t>，与上年</w:t>
      </w:r>
      <w:r>
        <w:rPr>
          <w:rFonts w:ascii="宋体" w:hAnsi="宋体" w:eastAsia="宋体"/>
          <w:sz w:val="32"/>
          <w:szCs w:val="32"/>
        </w:rPr>
        <w:t>5067.63</w:t>
      </w:r>
      <w:r>
        <w:rPr>
          <w:rFonts w:hint="eastAsia" w:ascii="宋体" w:hAnsi="宋体" w:eastAsia="宋体"/>
          <w:sz w:val="32"/>
          <w:szCs w:val="32"/>
        </w:rPr>
        <w:t>万元相比，财政拨款支出减少</w:t>
      </w:r>
      <w:r>
        <w:rPr>
          <w:rFonts w:ascii="宋体" w:hAnsi="宋体" w:eastAsia="宋体"/>
          <w:sz w:val="32"/>
          <w:szCs w:val="32"/>
        </w:rPr>
        <w:t>1339.53</w:t>
      </w:r>
      <w:r>
        <w:rPr>
          <w:rFonts w:hint="eastAsia" w:ascii="宋体" w:hAnsi="宋体" w:eastAsia="宋体"/>
          <w:sz w:val="32"/>
          <w:szCs w:val="32"/>
        </w:rPr>
        <w:t>万元，减少</w:t>
      </w:r>
      <w:r>
        <w:rPr>
          <w:rFonts w:ascii="宋体" w:hAnsi="宋体" w:eastAsia="宋体"/>
          <w:sz w:val="32"/>
          <w:szCs w:val="32"/>
        </w:rPr>
        <w:t>26.43%</w:t>
      </w:r>
      <w:r>
        <w:rPr>
          <w:rFonts w:hint="eastAsia" w:ascii="宋体" w:hAnsi="宋体" w:eastAsia="宋体"/>
          <w:sz w:val="32"/>
          <w:szCs w:val="32"/>
        </w:rPr>
        <w:t>，主要是因为教育支出减少了</w:t>
      </w:r>
      <w:r>
        <w:rPr>
          <w:rFonts w:ascii="宋体" w:hAnsi="宋体" w:eastAsia="宋体"/>
          <w:sz w:val="32"/>
          <w:szCs w:val="32"/>
        </w:rPr>
        <w:t>10</w:t>
      </w:r>
      <w:r>
        <w:rPr>
          <w:rFonts w:hint="eastAsia" w:ascii="宋体" w:hAnsi="宋体" w:eastAsia="宋体"/>
          <w:sz w:val="32"/>
          <w:szCs w:val="32"/>
        </w:rPr>
        <w:t>万元，科学技术支出增加了</w:t>
      </w:r>
      <w:r>
        <w:rPr>
          <w:rFonts w:ascii="宋体" w:hAnsi="宋体" w:eastAsia="宋体"/>
          <w:sz w:val="32"/>
          <w:szCs w:val="32"/>
        </w:rPr>
        <w:t>50</w:t>
      </w:r>
      <w:r>
        <w:rPr>
          <w:rFonts w:hint="eastAsia" w:ascii="宋体" w:hAnsi="宋体" w:eastAsia="宋体"/>
          <w:sz w:val="32"/>
          <w:szCs w:val="32"/>
        </w:rPr>
        <w:t>万元，社会保障和就业支出增加</w:t>
      </w:r>
      <w:r>
        <w:rPr>
          <w:rFonts w:ascii="宋体" w:hAnsi="宋体" w:eastAsia="宋体"/>
          <w:sz w:val="32"/>
          <w:szCs w:val="32"/>
        </w:rPr>
        <w:t>138.3</w:t>
      </w:r>
      <w:r>
        <w:rPr>
          <w:rFonts w:hint="eastAsia" w:ascii="宋体" w:hAnsi="宋体" w:eastAsia="宋体"/>
          <w:sz w:val="32"/>
          <w:szCs w:val="32"/>
        </w:rPr>
        <w:t>万元，卫生健康支出减少</w:t>
      </w:r>
      <w:r>
        <w:rPr>
          <w:rFonts w:ascii="宋体" w:hAnsi="宋体" w:eastAsia="宋体"/>
          <w:sz w:val="32"/>
          <w:szCs w:val="32"/>
        </w:rPr>
        <w:t>17.11</w:t>
      </w:r>
      <w:r>
        <w:rPr>
          <w:rFonts w:hint="eastAsia" w:ascii="宋体" w:hAnsi="宋体" w:eastAsia="宋体"/>
          <w:sz w:val="32"/>
          <w:szCs w:val="32"/>
        </w:rPr>
        <w:t>万元，资源勘探信息等支出减少</w:t>
      </w:r>
      <w:r>
        <w:rPr>
          <w:rFonts w:ascii="宋体" w:hAnsi="宋体" w:eastAsia="宋体"/>
          <w:sz w:val="32"/>
          <w:szCs w:val="32"/>
        </w:rPr>
        <w:t>1213.84</w:t>
      </w:r>
      <w:r>
        <w:rPr>
          <w:rFonts w:hint="eastAsia" w:ascii="宋体" w:hAnsi="宋体" w:eastAsia="宋体"/>
          <w:sz w:val="32"/>
          <w:szCs w:val="32"/>
        </w:rPr>
        <w:t>万元，自然资源海洋气象等支出减少</w:t>
      </w:r>
      <w:r>
        <w:rPr>
          <w:rFonts w:ascii="宋体" w:hAnsi="宋体" w:eastAsia="宋体"/>
          <w:sz w:val="32"/>
          <w:szCs w:val="32"/>
        </w:rPr>
        <w:t>31.94</w:t>
      </w:r>
      <w:r>
        <w:rPr>
          <w:rFonts w:hint="eastAsia" w:ascii="宋体" w:hAnsi="宋体" w:eastAsia="宋体"/>
          <w:sz w:val="32"/>
          <w:szCs w:val="32"/>
        </w:rPr>
        <w:t>万元，住房保障支出增加</w:t>
      </w:r>
      <w:r>
        <w:rPr>
          <w:rFonts w:ascii="宋体" w:hAnsi="宋体" w:eastAsia="宋体"/>
          <w:sz w:val="32"/>
          <w:szCs w:val="32"/>
        </w:rPr>
        <w:t>6.96</w:t>
      </w:r>
      <w:r>
        <w:rPr>
          <w:rFonts w:hint="eastAsia" w:ascii="宋体" w:hAnsi="宋体" w:eastAsia="宋体"/>
          <w:sz w:val="32"/>
          <w:szCs w:val="32"/>
        </w:rPr>
        <w:t>万元，灾害防治及应急管理支出减少</w:t>
      </w:r>
      <w:r>
        <w:rPr>
          <w:rFonts w:ascii="宋体" w:hAnsi="宋体" w:eastAsia="宋体"/>
          <w:sz w:val="32"/>
          <w:szCs w:val="32"/>
        </w:rPr>
        <w:t>261.9</w:t>
      </w:r>
      <w:r>
        <w:rPr>
          <w:rFonts w:hint="eastAsia" w:ascii="宋体" w:hAnsi="宋体" w:eastAsia="宋体"/>
          <w:sz w:val="32"/>
          <w:szCs w:val="32"/>
        </w:rPr>
        <w:t>万元。</w:t>
      </w:r>
    </w:p>
    <w:p>
      <w:pPr>
        <w:pStyle w:val="9"/>
        <w:ind w:firstLine="480"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9"/>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年度财政拨款支出</w:t>
      </w:r>
      <w:r>
        <w:rPr>
          <w:rFonts w:ascii="宋体" w:hAnsi="宋体" w:eastAsia="宋体"/>
          <w:sz w:val="32"/>
          <w:szCs w:val="32"/>
        </w:rPr>
        <w:t>3728.1</w:t>
      </w:r>
      <w:r>
        <w:rPr>
          <w:rFonts w:hint="eastAsia" w:ascii="宋体" w:hAnsi="宋体" w:eastAsia="宋体"/>
          <w:sz w:val="32"/>
          <w:szCs w:val="32"/>
        </w:rPr>
        <w:t>万元，主要用于以下方面：科学技术（类）支出</w:t>
      </w:r>
      <w:r>
        <w:rPr>
          <w:rFonts w:ascii="宋体" w:hAnsi="宋体" w:eastAsia="宋体"/>
          <w:sz w:val="32"/>
          <w:szCs w:val="32"/>
        </w:rPr>
        <w:t>50</w:t>
      </w:r>
      <w:r>
        <w:rPr>
          <w:rFonts w:hint="eastAsia" w:ascii="宋体" w:hAnsi="宋体" w:eastAsia="宋体"/>
          <w:sz w:val="32"/>
          <w:szCs w:val="32"/>
        </w:rPr>
        <w:t>万元，占</w:t>
      </w:r>
      <w:r>
        <w:rPr>
          <w:rFonts w:ascii="宋体" w:hAnsi="宋体" w:eastAsia="宋体"/>
          <w:sz w:val="32"/>
          <w:szCs w:val="32"/>
        </w:rPr>
        <w:t>1.34%;</w:t>
      </w:r>
      <w:r>
        <w:rPr>
          <w:rFonts w:hint="eastAsia" w:ascii="宋体" w:hAnsi="宋体" w:eastAsia="宋体"/>
          <w:sz w:val="32"/>
          <w:szCs w:val="32"/>
        </w:rPr>
        <w:t>社会保障和就业（类）支出</w:t>
      </w:r>
      <w:r>
        <w:rPr>
          <w:rFonts w:ascii="宋体" w:hAnsi="宋体" w:eastAsia="宋体"/>
          <w:sz w:val="32"/>
          <w:szCs w:val="32"/>
        </w:rPr>
        <w:t>587.31</w:t>
      </w:r>
      <w:r>
        <w:rPr>
          <w:rFonts w:hint="eastAsia" w:ascii="宋体" w:hAnsi="宋体" w:eastAsia="宋体"/>
          <w:sz w:val="32"/>
          <w:szCs w:val="32"/>
        </w:rPr>
        <w:t>万元，占</w:t>
      </w:r>
      <w:r>
        <w:rPr>
          <w:rFonts w:ascii="宋体" w:hAnsi="宋体" w:eastAsia="宋体"/>
          <w:sz w:val="32"/>
          <w:szCs w:val="32"/>
        </w:rPr>
        <w:t>15.75%</w:t>
      </w:r>
      <w:r>
        <w:rPr>
          <w:rFonts w:hint="eastAsia" w:ascii="宋体" w:hAnsi="宋体" w:eastAsia="宋体"/>
          <w:sz w:val="32"/>
          <w:szCs w:val="32"/>
        </w:rPr>
        <w:t>；卫生健康（类）支出</w:t>
      </w:r>
      <w:r>
        <w:rPr>
          <w:rFonts w:ascii="宋体" w:hAnsi="宋体" w:eastAsia="宋体"/>
          <w:sz w:val="32"/>
          <w:szCs w:val="32"/>
        </w:rPr>
        <w:t>163.17</w:t>
      </w:r>
      <w:r>
        <w:rPr>
          <w:rFonts w:hint="eastAsia" w:ascii="宋体" w:hAnsi="宋体" w:eastAsia="宋体"/>
          <w:sz w:val="32"/>
          <w:szCs w:val="32"/>
        </w:rPr>
        <w:t>万元，占</w:t>
      </w:r>
      <w:r>
        <w:rPr>
          <w:rFonts w:ascii="宋体" w:hAnsi="宋体" w:eastAsia="宋体"/>
          <w:sz w:val="32"/>
          <w:szCs w:val="32"/>
        </w:rPr>
        <w:t>4.38%</w:t>
      </w:r>
      <w:r>
        <w:rPr>
          <w:rFonts w:hint="eastAsia" w:ascii="宋体" w:hAnsi="宋体" w:eastAsia="宋体"/>
          <w:sz w:val="32"/>
          <w:szCs w:val="32"/>
        </w:rPr>
        <w:t>；资源勘探工业信息等（类）支出</w:t>
      </w:r>
      <w:r>
        <w:rPr>
          <w:rFonts w:ascii="宋体" w:hAnsi="宋体" w:eastAsia="宋体"/>
          <w:sz w:val="32"/>
          <w:szCs w:val="32"/>
        </w:rPr>
        <w:t>163.9</w:t>
      </w:r>
      <w:r>
        <w:rPr>
          <w:rFonts w:hint="eastAsia" w:ascii="宋体" w:hAnsi="宋体" w:eastAsia="宋体"/>
          <w:sz w:val="32"/>
          <w:szCs w:val="32"/>
        </w:rPr>
        <w:t>万元，占</w:t>
      </w:r>
      <w:r>
        <w:rPr>
          <w:rFonts w:ascii="宋体" w:hAnsi="宋体" w:eastAsia="宋体"/>
          <w:sz w:val="32"/>
          <w:szCs w:val="32"/>
        </w:rPr>
        <w:t>4.4%</w:t>
      </w:r>
      <w:r>
        <w:rPr>
          <w:rFonts w:hint="eastAsia" w:ascii="宋体" w:hAnsi="宋体" w:eastAsia="宋体"/>
          <w:sz w:val="32"/>
          <w:szCs w:val="32"/>
        </w:rPr>
        <w:t>；自然资源海洋气象（类）支出</w:t>
      </w:r>
      <w:r>
        <w:rPr>
          <w:rFonts w:ascii="宋体" w:hAnsi="宋体" w:eastAsia="宋体"/>
          <w:sz w:val="32"/>
          <w:szCs w:val="32"/>
        </w:rPr>
        <w:t>2562.36</w:t>
      </w:r>
      <w:r>
        <w:rPr>
          <w:rFonts w:hint="eastAsia" w:ascii="宋体" w:hAnsi="宋体" w:eastAsia="宋体"/>
          <w:sz w:val="32"/>
          <w:szCs w:val="32"/>
        </w:rPr>
        <w:t>万元，占</w:t>
      </w:r>
      <w:r>
        <w:rPr>
          <w:rFonts w:ascii="宋体" w:hAnsi="宋体" w:eastAsia="宋体"/>
          <w:sz w:val="32"/>
          <w:szCs w:val="32"/>
        </w:rPr>
        <w:t>68.73%</w:t>
      </w:r>
      <w:r>
        <w:rPr>
          <w:rFonts w:hint="eastAsia" w:ascii="宋体" w:hAnsi="宋体" w:eastAsia="宋体"/>
          <w:sz w:val="32"/>
          <w:szCs w:val="32"/>
        </w:rPr>
        <w:t>；住房保障（类）支出</w:t>
      </w:r>
      <w:r>
        <w:rPr>
          <w:rFonts w:ascii="宋体" w:hAnsi="宋体" w:eastAsia="宋体"/>
          <w:sz w:val="32"/>
          <w:szCs w:val="32"/>
        </w:rPr>
        <w:t>182.96</w:t>
      </w:r>
      <w:r>
        <w:rPr>
          <w:rFonts w:hint="eastAsia" w:ascii="宋体" w:hAnsi="宋体" w:eastAsia="宋体"/>
          <w:sz w:val="32"/>
          <w:szCs w:val="32"/>
        </w:rPr>
        <w:t>万元，占</w:t>
      </w:r>
      <w:r>
        <w:rPr>
          <w:rFonts w:ascii="宋体" w:hAnsi="宋体" w:eastAsia="宋体"/>
          <w:sz w:val="32"/>
          <w:szCs w:val="32"/>
        </w:rPr>
        <w:t>4.91%</w:t>
      </w:r>
      <w:r>
        <w:rPr>
          <w:rFonts w:hint="eastAsia" w:ascii="宋体" w:hAnsi="宋体" w:eastAsia="宋体"/>
          <w:sz w:val="32"/>
          <w:szCs w:val="32"/>
        </w:rPr>
        <w:t>；灾害防治及应急管理（类）支出</w:t>
      </w:r>
      <w:r>
        <w:rPr>
          <w:rFonts w:ascii="宋体" w:hAnsi="宋体" w:eastAsia="宋体"/>
          <w:sz w:val="32"/>
          <w:szCs w:val="32"/>
        </w:rPr>
        <w:t>18.4</w:t>
      </w:r>
      <w:r>
        <w:rPr>
          <w:rFonts w:hint="eastAsia" w:ascii="宋体" w:hAnsi="宋体" w:eastAsia="宋体"/>
          <w:sz w:val="32"/>
          <w:szCs w:val="32"/>
        </w:rPr>
        <w:t>万元，占</w:t>
      </w:r>
      <w:r>
        <w:rPr>
          <w:rFonts w:ascii="宋体" w:hAnsi="宋体" w:eastAsia="宋体"/>
          <w:sz w:val="32"/>
          <w:szCs w:val="32"/>
        </w:rPr>
        <w:t>0.49%</w:t>
      </w:r>
      <w:r>
        <w:rPr>
          <w:rFonts w:hint="eastAsia" w:ascii="宋体" w:hAnsi="宋体" w:eastAsia="宋体"/>
          <w:sz w:val="32"/>
          <w:szCs w:val="32"/>
        </w:rPr>
        <w:t>。</w:t>
      </w:r>
    </w:p>
    <w:p>
      <w:pPr>
        <w:pStyle w:val="9"/>
        <w:ind w:firstLine="640" w:firstLineChars="200"/>
        <w:rPr>
          <w:rFonts w:ascii="宋体" w:hAnsi="宋体" w:eastAsia="宋体"/>
          <w:b/>
          <w:sz w:val="32"/>
          <w:szCs w:val="32"/>
        </w:rPr>
      </w:pPr>
      <w:r>
        <w:rPr>
          <w:rFonts w:hint="eastAsia" w:ascii="宋体" w:hAnsi="宋体" w:eastAsia="宋体"/>
          <w:b/>
          <w:sz w:val="32"/>
          <w:szCs w:val="32"/>
        </w:rPr>
        <w:t>（三）财政拨款支出决算具体情况</w:t>
      </w:r>
    </w:p>
    <w:p>
      <w:pPr>
        <w:pStyle w:val="9"/>
        <w:ind w:firstLine="800" w:firstLineChars="25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年度财政拨款支出年初预算数为</w:t>
      </w:r>
      <w:r>
        <w:rPr>
          <w:rFonts w:ascii="宋体" w:hAnsi="宋体" w:eastAsia="宋体"/>
          <w:sz w:val="32"/>
          <w:szCs w:val="32"/>
        </w:rPr>
        <w:t>3440.26</w:t>
      </w:r>
      <w:r>
        <w:rPr>
          <w:rFonts w:hint="eastAsia" w:ascii="宋体" w:hAnsi="宋体" w:eastAsia="宋体"/>
          <w:sz w:val="32"/>
          <w:szCs w:val="32"/>
        </w:rPr>
        <w:t>万元，支出决算数为</w:t>
      </w:r>
      <w:r>
        <w:rPr>
          <w:rFonts w:ascii="宋体" w:hAnsi="宋体" w:eastAsia="宋体"/>
          <w:sz w:val="32"/>
          <w:szCs w:val="32"/>
        </w:rPr>
        <w:t>3728.1</w:t>
      </w:r>
      <w:r>
        <w:rPr>
          <w:rFonts w:hint="eastAsia" w:ascii="宋体" w:hAnsi="宋体" w:eastAsia="宋体"/>
          <w:sz w:val="32"/>
          <w:szCs w:val="32"/>
        </w:rPr>
        <w:t>万元，完成年初预算的</w:t>
      </w:r>
      <w:r>
        <w:rPr>
          <w:rFonts w:ascii="宋体" w:hAnsi="宋体" w:eastAsia="宋体"/>
          <w:sz w:val="32"/>
          <w:szCs w:val="32"/>
        </w:rPr>
        <w:t>108.37%</w:t>
      </w:r>
      <w:r>
        <w:rPr>
          <w:rFonts w:hint="eastAsia" w:ascii="宋体" w:hAnsi="宋体" w:eastAsia="宋体"/>
          <w:sz w:val="32"/>
          <w:szCs w:val="32"/>
        </w:rPr>
        <w:t>，其中：</w:t>
      </w:r>
    </w:p>
    <w:p>
      <w:pPr>
        <w:pStyle w:val="9"/>
        <w:ind w:firstLine="800" w:firstLineChars="25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、科学技术（类）科技重大项目（款）重点研发计划（项）。</w:t>
      </w:r>
    </w:p>
    <w:p>
      <w:pPr>
        <w:pStyle w:val="9"/>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50</w:t>
      </w:r>
      <w:r>
        <w:rPr>
          <w:rFonts w:hint="eastAsia" w:ascii="宋体" w:hAnsi="宋体" w:eastAsia="宋体"/>
          <w:sz w:val="32"/>
          <w:szCs w:val="32"/>
        </w:rPr>
        <w:t>万元，</w:t>
      </w:r>
      <w:r>
        <w:rPr>
          <w:rFonts w:hint="eastAsia" w:ascii="宋体" w:hAnsi="宋体" w:eastAsia="宋体"/>
          <w:sz w:val="32"/>
          <w:szCs w:val="32"/>
          <w:lang w:val="en-US" w:eastAsia="zh-CN"/>
        </w:rPr>
        <w:t>由于预算数为0，无法计算百分比。</w:t>
      </w:r>
      <w:r>
        <w:rPr>
          <w:rFonts w:hint="eastAsia" w:ascii="宋体" w:hAnsi="宋体" w:eastAsia="宋体"/>
          <w:sz w:val="32"/>
          <w:szCs w:val="32"/>
        </w:rPr>
        <w:t>决算数大于年初预算数的主要原因是：上年财政项目结转结余资金在本年度形成支出。</w:t>
      </w:r>
    </w:p>
    <w:p>
      <w:pPr>
        <w:pStyle w:val="9"/>
        <w:ind w:firstLine="800" w:firstLineChars="25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、社会保障和就业支出（类）行政事业单位养老支出（款）机关事业单位基本养老保险缴费支出（项）。</w:t>
      </w:r>
    </w:p>
    <w:p>
      <w:pPr>
        <w:pStyle w:val="9"/>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365.11</w:t>
      </w:r>
      <w:r>
        <w:rPr>
          <w:rFonts w:hint="eastAsia" w:ascii="宋体" w:hAnsi="宋体" w:eastAsia="宋体"/>
          <w:sz w:val="32"/>
          <w:szCs w:val="32"/>
        </w:rPr>
        <w:t>万元，支出决算为</w:t>
      </w:r>
      <w:r>
        <w:rPr>
          <w:rFonts w:ascii="宋体" w:hAnsi="宋体" w:eastAsia="宋体"/>
          <w:sz w:val="32"/>
          <w:szCs w:val="32"/>
        </w:rPr>
        <w:t>365.11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，决算数与年初预算数持平。</w:t>
      </w:r>
    </w:p>
    <w:p>
      <w:pPr>
        <w:pStyle w:val="9"/>
        <w:ind w:firstLine="640" w:firstLineChars="200"/>
        <w:rPr>
          <w:rFonts w:ascii="宋体" w:hAnsi="宋体" w:eastAsia="宋体"/>
          <w:sz w:val="32"/>
          <w:szCs w:val="32"/>
        </w:rPr>
      </w:pPr>
      <w:r>
        <w:rPr>
          <w:rFonts w:ascii="宋体" w:hAnsi="宋体" w:eastAsia="宋体"/>
          <w:sz w:val="32"/>
          <w:szCs w:val="32"/>
        </w:rPr>
        <w:t>3</w:t>
      </w:r>
      <w:r>
        <w:rPr>
          <w:rFonts w:hint="eastAsia" w:ascii="宋体" w:hAnsi="宋体" w:eastAsia="宋体"/>
          <w:sz w:val="32"/>
          <w:szCs w:val="32"/>
        </w:rPr>
        <w:t>、社会保障和就业支出（类）行政事业单位养老支出（款）事业单位离退休（项）。</w:t>
      </w:r>
    </w:p>
    <w:p>
      <w:pPr>
        <w:pStyle w:val="9"/>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222.2</w:t>
      </w:r>
      <w:r>
        <w:rPr>
          <w:rFonts w:hint="eastAsia" w:ascii="宋体" w:hAnsi="宋体" w:eastAsia="宋体"/>
          <w:sz w:val="32"/>
          <w:szCs w:val="32"/>
        </w:rPr>
        <w:t>万元，支出决算为</w:t>
      </w:r>
      <w:r>
        <w:rPr>
          <w:rFonts w:ascii="宋体" w:hAnsi="宋体" w:eastAsia="宋体"/>
          <w:sz w:val="32"/>
          <w:szCs w:val="32"/>
        </w:rPr>
        <w:t>222.2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，决算数与年初预算数持平。</w:t>
      </w:r>
    </w:p>
    <w:p>
      <w:pPr>
        <w:pStyle w:val="9"/>
        <w:ind w:firstLine="800" w:firstLineChars="250"/>
        <w:rPr>
          <w:rFonts w:ascii="宋体" w:hAnsi="宋体" w:eastAsia="宋体"/>
          <w:sz w:val="32"/>
          <w:szCs w:val="32"/>
        </w:rPr>
      </w:pPr>
      <w:r>
        <w:rPr>
          <w:rFonts w:ascii="宋体" w:hAnsi="宋体" w:eastAsia="宋体"/>
          <w:sz w:val="32"/>
          <w:szCs w:val="32"/>
        </w:rPr>
        <w:t>4</w:t>
      </w:r>
      <w:r>
        <w:rPr>
          <w:rFonts w:hint="eastAsia" w:ascii="宋体" w:hAnsi="宋体" w:eastAsia="宋体"/>
          <w:sz w:val="32"/>
          <w:szCs w:val="32"/>
        </w:rPr>
        <w:t>、卫生健康支出（类）行政事业单位医疗（款）事业单位医疗（项）。</w:t>
      </w:r>
    </w:p>
    <w:p>
      <w:pPr>
        <w:pStyle w:val="9"/>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163.17</w:t>
      </w:r>
      <w:r>
        <w:rPr>
          <w:rFonts w:hint="eastAsia" w:ascii="宋体" w:hAnsi="宋体" w:eastAsia="宋体"/>
          <w:sz w:val="32"/>
          <w:szCs w:val="32"/>
        </w:rPr>
        <w:t>万元，支出决算为</w:t>
      </w:r>
      <w:r>
        <w:rPr>
          <w:rFonts w:ascii="宋体" w:hAnsi="宋体" w:eastAsia="宋体"/>
          <w:sz w:val="32"/>
          <w:szCs w:val="32"/>
        </w:rPr>
        <w:t>163.17</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，决算数与年初预算数持平。</w:t>
      </w:r>
    </w:p>
    <w:p>
      <w:pPr>
        <w:pStyle w:val="9"/>
        <w:ind w:firstLine="800" w:firstLineChars="250"/>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、资源勘探工业信息等支出（类）资源勘探开发（款）其他资源勘探业支出（项）。</w:t>
      </w:r>
    </w:p>
    <w:p>
      <w:pPr>
        <w:pStyle w:val="9"/>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163.9</w:t>
      </w:r>
      <w:r>
        <w:rPr>
          <w:rFonts w:hint="eastAsia" w:ascii="宋体" w:hAnsi="宋体" w:eastAsia="宋体"/>
          <w:sz w:val="32"/>
          <w:szCs w:val="32"/>
        </w:rPr>
        <w:t>万元，</w:t>
      </w:r>
      <w:r>
        <w:rPr>
          <w:rFonts w:hint="eastAsia" w:ascii="宋体" w:hAnsi="宋体" w:eastAsia="宋体"/>
          <w:sz w:val="32"/>
          <w:szCs w:val="32"/>
          <w:lang w:val="en-US" w:eastAsia="zh-CN"/>
        </w:rPr>
        <w:t>由于预算数为0，无法计算百分比。</w:t>
      </w:r>
      <w:r>
        <w:rPr>
          <w:rFonts w:hint="eastAsia" w:ascii="宋体" w:hAnsi="宋体" w:eastAsia="宋体"/>
          <w:sz w:val="32"/>
          <w:szCs w:val="32"/>
        </w:rPr>
        <w:t>决算数大于年初预算数的主要原因是：年中财政追加指标并形成支出</w:t>
      </w:r>
      <w:r>
        <w:rPr>
          <w:rFonts w:ascii="宋体" w:hAnsi="宋体" w:eastAsia="宋体"/>
          <w:sz w:val="32"/>
          <w:szCs w:val="32"/>
        </w:rPr>
        <w:t>163.9</w:t>
      </w:r>
      <w:r>
        <w:rPr>
          <w:rFonts w:hint="eastAsia" w:ascii="宋体" w:hAnsi="宋体" w:eastAsia="宋体"/>
          <w:sz w:val="32"/>
          <w:szCs w:val="32"/>
        </w:rPr>
        <w:t>万元。</w:t>
      </w:r>
    </w:p>
    <w:p>
      <w:pPr>
        <w:pStyle w:val="9"/>
        <w:ind w:firstLine="800" w:firstLineChars="250"/>
        <w:rPr>
          <w:rFonts w:ascii="宋体" w:hAnsi="宋体" w:eastAsia="宋体"/>
          <w:sz w:val="32"/>
          <w:szCs w:val="32"/>
        </w:rPr>
      </w:pPr>
      <w:r>
        <w:rPr>
          <w:rFonts w:ascii="宋体" w:hAnsi="宋体" w:eastAsia="宋体"/>
          <w:sz w:val="32"/>
          <w:szCs w:val="32"/>
        </w:rPr>
        <w:t>6</w:t>
      </w:r>
      <w:r>
        <w:rPr>
          <w:rFonts w:hint="eastAsia" w:ascii="宋体" w:hAnsi="宋体" w:eastAsia="宋体"/>
          <w:sz w:val="32"/>
          <w:szCs w:val="32"/>
        </w:rPr>
        <w:t>、自然资源海洋气象等支出（类）自然资源事务（款）自然资源行业业务管理（项）。</w:t>
      </w:r>
    </w:p>
    <w:p>
      <w:pPr>
        <w:pStyle w:val="9"/>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10.68</w:t>
      </w:r>
      <w:r>
        <w:rPr>
          <w:rFonts w:hint="eastAsia" w:ascii="宋体" w:hAnsi="宋体" w:eastAsia="宋体"/>
          <w:sz w:val="32"/>
          <w:szCs w:val="32"/>
        </w:rPr>
        <w:t>万元，</w:t>
      </w:r>
      <w:r>
        <w:rPr>
          <w:rFonts w:hint="eastAsia" w:ascii="宋体" w:hAnsi="宋体" w:eastAsia="宋体"/>
          <w:sz w:val="32"/>
          <w:szCs w:val="32"/>
          <w:lang w:val="en-US" w:eastAsia="zh-CN"/>
        </w:rPr>
        <w:t>由于预算数为0，无法计算百分比。</w:t>
      </w:r>
      <w:r>
        <w:rPr>
          <w:rFonts w:hint="eastAsia" w:ascii="宋体" w:hAnsi="宋体" w:eastAsia="宋体"/>
          <w:sz w:val="32"/>
          <w:szCs w:val="32"/>
        </w:rPr>
        <w:t>决算数大于年初预算数的主要原因是：上年财政项目结转结余资金在本年度形成支出。</w:t>
      </w:r>
    </w:p>
    <w:p>
      <w:pPr>
        <w:pStyle w:val="9"/>
        <w:ind w:firstLine="800" w:firstLineChars="250"/>
        <w:rPr>
          <w:rFonts w:ascii="宋体" w:hAnsi="宋体" w:eastAsia="宋体"/>
          <w:sz w:val="32"/>
          <w:szCs w:val="32"/>
        </w:rPr>
      </w:pPr>
      <w:r>
        <w:rPr>
          <w:rFonts w:ascii="宋体" w:hAnsi="宋体" w:eastAsia="宋体"/>
          <w:sz w:val="32"/>
          <w:szCs w:val="32"/>
        </w:rPr>
        <w:t>7</w:t>
      </w:r>
      <w:r>
        <w:rPr>
          <w:rFonts w:hint="eastAsia" w:ascii="宋体" w:hAnsi="宋体" w:eastAsia="宋体"/>
          <w:sz w:val="32"/>
          <w:szCs w:val="32"/>
        </w:rPr>
        <w:t>、自然资源海洋气象等支出（类）自然资源事务（款）地质矿产资源与环境调查（项）。</w:t>
      </w:r>
    </w:p>
    <w:p>
      <w:pPr>
        <w:pStyle w:val="9"/>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44.86</w:t>
      </w:r>
      <w:r>
        <w:rPr>
          <w:rFonts w:hint="eastAsia" w:ascii="宋体" w:hAnsi="宋体" w:eastAsia="宋体"/>
          <w:sz w:val="32"/>
          <w:szCs w:val="32"/>
        </w:rPr>
        <w:t>万元，</w:t>
      </w:r>
      <w:r>
        <w:rPr>
          <w:rFonts w:hint="eastAsia" w:ascii="宋体" w:hAnsi="宋体" w:eastAsia="宋体"/>
          <w:sz w:val="32"/>
          <w:szCs w:val="32"/>
          <w:lang w:val="en-US" w:eastAsia="zh-CN"/>
        </w:rPr>
        <w:t>由于预算数为0，无法计算百分比。</w:t>
      </w:r>
      <w:r>
        <w:rPr>
          <w:rFonts w:hint="eastAsia" w:ascii="宋体" w:hAnsi="宋体" w:eastAsia="宋体"/>
          <w:sz w:val="32"/>
          <w:szCs w:val="32"/>
        </w:rPr>
        <w:t>决算数大于年初预算数的主要原因是：年中追加项目指标</w:t>
      </w:r>
      <w:r>
        <w:rPr>
          <w:rFonts w:ascii="宋体" w:hAnsi="宋体" w:eastAsia="宋体"/>
          <w:sz w:val="32"/>
          <w:szCs w:val="32"/>
        </w:rPr>
        <w:t>52.24</w:t>
      </w:r>
      <w:r>
        <w:rPr>
          <w:rFonts w:hint="eastAsia" w:ascii="宋体" w:hAnsi="宋体" w:eastAsia="宋体"/>
          <w:sz w:val="32"/>
          <w:szCs w:val="32"/>
        </w:rPr>
        <w:t>万元，上年财政项目结转结余资金在本年度形成支出。</w:t>
      </w:r>
    </w:p>
    <w:p>
      <w:pPr>
        <w:pStyle w:val="9"/>
        <w:ind w:firstLine="800" w:firstLineChars="250"/>
        <w:rPr>
          <w:rFonts w:ascii="宋体" w:hAnsi="宋体" w:eastAsia="宋体"/>
          <w:sz w:val="32"/>
          <w:szCs w:val="32"/>
        </w:rPr>
      </w:pPr>
      <w:r>
        <w:rPr>
          <w:rFonts w:ascii="宋体" w:hAnsi="宋体" w:eastAsia="宋体"/>
          <w:sz w:val="32"/>
          <w:szCs w:val="32"/>
        </w:rPr>
        <w:t>8</w:t>
      </w:r>
      <w:r>
        <w:rPr>
          <w:rFonts w:hint="eastAsia" w:ascii="宋体" w:hAnsi="宋体" w:eastAsia="宋体"/>
          <w:sz w:val="32"/>
          <w:szCs w:val="32"/>
        </w:rPr>
        <w:t>、自然资源海洋气象等支出（类）自然资源事务（款）事业运行（项）。</w:t>
      </w:r>
    </w:p>
    <w:p>
      <w:pPr>
        <w:pStyle w:val="9"/>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2506.82</w:t>
      </w:r>
      <w:r>
        <w:rPr>
          <w:rFonts w:hint="eastAsia" w:ascii="宋体" w:hAnsi="宋体" w:eastAsia="宋体"/>
          <w:sz w:val="32"/>
          <w:szCs w:val="32"/>
        </w:rPr>
        <w:t>万元，支出决算为</w:t>
      </w:r>
      <w:r>
        <w:rPr>
          <w:rFonts w:ascii="宋体" w:hAnsi="宋体" w:eastAsia="宋体"/>
          <w:sz w:val="32"/>
          <w:szCs w:val="32"/>
        </w:rPr>
        <w:t>2506.82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，决算数与年初预算数基本持平。</w:t>
      </w:r>
    </w:p>
    <w:p>
      <w:pPr>
        <w:pStyle w:val="9"/>
        <w:ind w:firstLine="800" w:firstLineChars="250"/>
        <w:rPr>
          <w:rFonts w:ascii="宋体" w:hAnsi="宋体" w:eastAsia="宋体"/>
          <w:sz w:val="32"/>
          <w:szCs w:val="32"/>
        </w:rPr>
      </w:pPr>
      <w:r>
        <w:rPr>
          <w:rFonts w:ascii="宋体" w:hAnsi="宋体" w:eastAsia="宋体"/>
          <w:sz w:val="32"/>
          <w:szCs w:val="32"/>
        </w:rPr>
        <w:t>9</w:t>
      </w:r>
      <w:r>
        <w:rPr>
          <w:rFonts w:hint="eastAsia" w:ascii="宋体" w:hAnsi="宋体" w:eastAsia="宋体"/>
          <w:sz w:val="32"/>
          <w:szCs w:val="32"/>
        </w:rPr>
        <w:t>、住房保障支出（类）住房改革支出（款）住房公积金（项）。</w:t>
      </w:r>
    </w:p>
    <w:p>
      <w:pPr>
        <w:pStyle w:val="9"/>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182.96</w:t>
      </w:r>
      <w:r>
        <w:rPr>
          <w:rFonts w:hint="eastAsia" w:ascii="宋体" w:hAnsi="宋体" w:eastAsia="宋体"/>
          <w:sz w:val="32"/>
          <w:szCs w:val="32"/>
        </w:rPr>
        <w:t>万元，支出决算为</w:t>
      </w:r>
      <w:r>
        <w:rPr>
          <w:rFonts w:ascii="宋体" w:hAnsi="宋体" w:eastAsia="宋体"/>
          <w:sz w:val="32"/>
          <w:szCs w:val="32"/>
        </w:rPr>
        <w:t>182.96</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，决算数与年初预算数持平。</w:t>
      </w:r>
    </w:p>
    <w:p>
      <w:pPr>
        <w:pStyle w:val="9"/>
        <w:ind w:firstLine="800" w:firstLineChars="250"/>
        <w:rPr>
          <w:rFonts w:ascii="宋体" w:hAnsi="宋体" w:eastAsia="宋体"/>
          <w:sz w:val="32"/>
          <w:szCs w:val="32"/>
        </w:rPr>
      </w:pPr>
      <w:r>
        <w:rPr>
          <w:rFonts w:ascii="宋体" w:hAnsi="宋体" w:eastAsia="宋体"/>
          <w:sz w:val="32"/>
          <w:szCs w:val="32"/>
        </w:rPr>
        <w:t>10</w:t>
      </w:r>
      <w:r>
        <w:rPr>
          <w:rFonts w:hint="eastAsia" w:ascii="宋体" w:hAnsi="宋体" w:eastAsia="宋体"/>
          <w:sz w:val="32"/>
          <w:szCs w:val="32"/>
        </w:rPr>
        <w:t>、灾害防治及应急管理支出（类）自然灾害防治（款）地质灾害防治（项）。</w:t>
      </w:r>
    </w:p>
    <w:p>
      <w:pPr>
        <w:pStyle w:val="9"/>
        <w:ind w:firstLine="800" w:firstLineChars="250"/>
        <w:rPr>
          <w:rFonts w:ascii="宋体" w:hAnsi="宋体" w:eastAsia="宋体"/>
          <w:color w:val="FF0000"/>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18.4</w:t>
      </w:r>
      <w:r>
        <w:rPr>
          <w:rFonts w:hint="eastAsia" w:ascii="宋体" w:hAnsi="宋体" w:eastAsia="宋体"/>
          <w:sz w:val="32"/>
          <w:szCs w:val="32"/>
        </w:rPr>
        <w:t>万元，</w:t>
      </w:r>
      <w:r>
        <w:rPr>
          <w:rFonts w:hint="eastAsia" w:ascii="宋体" w:hAnsi="宋体" w:eastAsia="宋体"/>
          <w:sz w:val="32"/>
          <w:szCs w:val="32"/>
          <w:lang w:val="en-US" w:eastAsia="zh-CN"/>
        </w:rPr>
        <w:t>由于预算数为0，无法计算百分比。</w:t>
      </w:r>
      <w:r>
        <w:rPr>
          <w:rFonts w:hint="eastAsia" w:ascii="宋体" w:hAnsi="宋体" w:eastAsia="宋体"/>
          <w:sz w:val="32"/>
          <w:szCs w:val="32"/>
        </w:rPr>
        <w:t>决算数大于年初预算数的主要原因是：年中财政追加指标并形成支出</w:t>
      </w:r>
      <w:r>
        <w:rPr>
          <w:rFonts w:ascii="宋体" w:hAnsi="宋体" w:eastAsia="宋体"/>
          <w:sz w:val="32"/>
          <w:szCs w:val="32"/>
        </w:rPr>
        <w:t>18.4</w:t>
      </w:r>
      <w:r>
        <w:rPr>
          <w:rFonts w:hint="eastAsia" w:ascii="宋体" w:hAnsi="宋体" w:eastAsia="宋体"/>
          <w:sz w:val="32"/>
          <w:szCs w:val="32"/>
        </w:rPr>
        <w:t>万元</w:t>
      </w:r>
      <w:r>
        <w:rPr>
          <w:rFonts w:hint="eastAsia" w:ascii="宋体" w:hAnsi="宋体" w:eastAsia="宋体"/>
          <w:color w:val="auto"/>
          <w:sz w:val="32"/>
          <w:szCs w:val="32"/>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宋体" w:hAnsi="宋体" w:eastAsia="宋体"/>
          <w:i/>
          <w:color w:val="FF0000"/>
          <w:sz w:val="32"/>
          <w:szCs w:val="32"/>
        </w:rPr>
      </w:pPr>
      <w:r>
        <w:rPr>
          <w:rFonts w:ascii="宋体" w:hAnsi="宋体" w:eastAsia="宋体"/>
          <w:sz w:val="32"/>
          <w:szCs w:val="32"/>
        </w:rPr>
        <w:t>2021</w:t>
      </w:r>
      <w:r>
        <w:rPr>
          <w:rFonts w:hint="eastAsia" w:ascii="宋体" w:hAnsi="宋体" w:eastAsia="宋体"/>
          <w:sz w:val="32"/>
          <w:szCs w:val="32"/>
        </w:rPr>
        <w:t>年度财政拨款基本支出</w:t>
      </w:r>
      <w:r>
        <w:rPr>
          <w:rFonts w:ascii="宋体" w:hAnsi="宋体" w:eastAsia="宋体"/>
          <w:sz w:val="32"/>
          <w:szCs w:val="32"/>
        </w:rPr>
        <w:t>3604.16</w:t>
      </w:r>
      <w:r>
        <w:rPr>
          <w:rFonts w:hint="eastAsia" w:ascii="宋体" w:hAnsi="宋体" w:eastAsia="宋体"/>
          <w:sz w:val="32"/>
          <w:szCs w:val="32"/>
        </w:rPr>
        <w:t>万元，其中：人员经费</w:t>
      </w:r>
      <w:r>
        <w:rPr>
          <w:rFonts w:ascii="宋体" w:hAnsi="宋体" w:eastAsia="宋体"/>
          <w:sz w:val="32"/>
          <w:szCs w:val="32"/>
        </w:rPr>
        <w:t>3037.41</w:t>
      </w:r>
      <w:r>
        <w:rPr>
          <w:rFonts w:hint="eastAsia" w:ascii="宋体" w:hAnsi="宋体" w:eastAsia="宋体"/>
          <w:sz w:val="32"/>
          <w:szCs w:val="32"/>
        </w:rPr>
        <w:t>万元，占基本支出的</w:t>
      </w:r>
      <w:r>
        <w:rPr>
          <w:rFonts w:ascii="宋体" w:hAnsi="宋体" w:eastAsia="宋体"/>
          <w:sz w:val="32"/>
          <w:szCs w:val="32"/>
        </w:rPr>
        <w:t>84.28%,</w:t>
      </w:r>
      <w:r>
        <w:rPr>
          <w:rFonts w:hint="eastAsia" w:ascii="宋体" w:hAnsi="宋体" w:eastAsia="宋体"/>
          <w:sz w:val="32"/>
          <w:szCs w:val="32"/>
        </w:rPr>
        <w:t>主要包括基本工资、津贴补贴、绩效工资、机关事业单位基本养老保险缴费、职工基本医疗保险缴费、其他社会保障缴费、住房公积金、退休费、抚恤金、生活补助、奖励金、其他对个人和家庭的补助；公用经费</w:t>
      </w:r>
      <w:r>
        <w:rPr>
          <w:rFonts w:ascii="宋体" w:hAnsi="宋体" w:eastAsia="宋体"/>
          <w:sz w:val="32"/>
          <w:szCs w:val="32"/>
        </w:rPr>
        <w:t>566.75</w:t>
      </w:r>
      <w:r>
        <w:rPr>
          <w:rFonts w:hint="eastAsia" w:ascii="宋体" w:hAnsi="宋体" w:eastAsia="宋体"/>
          <w:sz w:val="32"/>
          <w:szCs w:val="32"/>
        </w:rPr>
        <w:t>万元，占基本支出的</w:t>
      </w:r>
      <w:r>
        <w:rPr>
          <w:rFonts w:ascii="宋体" w:hAnsi="宋体" w:eastAsia="宋体"/>
          <w:sz w:val="32"/>
          <w:szCs w:val="32"/>
        </w:rPr>
        <w:t>15.72%</w:t>
      </w:r>
      <w:r>
        <w:rPr>
          <w:rFonts w:hint="eastAsia" w:ascii="宋体" w:hAnsi="宋体" w:eastAsia="宋体"/>
          <w:sz w:val="32"/>
          <w:szCs w:val="32"/>
        </w:rPr>
        <w:t>，主要包括办公费、印刷费、水费、电费、邮电费、物业管理费、差旅费、维修（护）费、培训费、公务接待费、劳务费、工会经费、福利费、公务用车运行维护费、其他交通费用、其他商品和服务支出。</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9"/>
        <w:ind w:firstLine="800" w:firstLineChars="25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年度“三公”经费财政拨款支出预算为</w:t>
      </w:r>
      <w:r>
        <w:rPr>
          <w:rFonts w:ascii="宋体" w:hAnsi="宋体" w:eastAsia="宋体"/>
          <w:sz w:val="32"/>
          <w:szCs w:val="32"/>
        </w:rPr>
        <w:t>15.5</w:t>
      </w:r>
      <w:r>
        <w:rPr>
          <w:rFonts w:hint="eastAsia" w:ascii="宋体" w:hAnsi="宋体" w:eastAsia="宋体"/>
          <w:sz w:val="32"/>
          <w:szCs w:val="32"/>
        </w:rPr>
        <w:t>万元，支出决算为</w:t>
      </w:r>
      <w:r>
        <w:rPr>
          <w:rFonts w:ascii="宋体" w:hAnsi="宋体" w:eastAsia="宋体"/>
          <w:sz w:val="32"/>
          <w:szCs w:val="32"/>
        </w:rPr>
        <w:t>15.5</w:t>
      </w:r>
      <w:r>
        <w:rPr>
          <w:rFonts w:hint="eastAsia" w:ascii="宋体" w:hAnsi="宋体" w:eastAsia="宋体"/>
          <w:sz w:val="32"/>
          <w:szCs w:val="32"/>
        </w:rPr>
        <w:t>万元，完成预算的</w:t>
      </w:r>
      <w:r>
        <w:rPr>
          <w:rFonts w:ascii="宋体" w:hAnsi="宋体" w:eastAsia="宋体"/>
          <w:sz w:val="32"/>
          <w:szCs w:val="32"/>
        </w:rPr>
        <w:t>100%</w:t>
      </w:r>
      <w:r>
        <w:rPr>
          <w:rFonts w:hint="eastAsia" w:ascii="宋体" w:hAnsi="宋体" w:eastAsia="宋体"/>
          <w:sz w:val="32"/>
          <w:szCs w:val="32"/>
        </w:rPr>
        <w:t>，其中：</w:t>
      </w:r>
    </w:p>
    <w:p>
      <w:pPr>
        <w:pStyle w:val="9"/>
        <w:ind w:firstLine="800" w:firstLineChars="250"/>
        <w:rPr>
          <w:rFonts w:ascii="宋体" w:hAnsi="宋体" w:eastAsia="宋体"/>
          <w:sz w:val="32"/>
          <w:szCs w:val="32"/>
        </w:rPr>
      </w:pPr>
      <w:r>
        <w:rPr>
          <w:rFonts w:hint="eastAsia" w:ascii="宋体" w:hAnsi="宋体" w:eastAsia="宋体"/>
          <w:sz w:val="32"/>
          <w:szCs w:val="32"/>
        </w:rPr>
        <w:t>因公出国（境）费支出预算为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w:t>
      </w:r>
      <w:r>
        <w:rPr>
          <w:rFonts w:hint="eastAsia" w:ascii="宋体" w:hAnsi="宋体" w:eastAsia="宋体"/>
          <w:sz w:val="32"/>
          <w:szCs w:val="32"/>
          <w:lang w:val="en-US" w:eastAsia="zh-CN"/>
        </w:rPr>
        <w:t>由于预算数为0，无法计算百分比，</w:t>
      </w:r>
      <w:r>
        <w:rPr>
          <w:rFonts w:hint="eastAsia" w:ascii="宋体" w:hAnsi="宋体" w:eastAsia="宋体"/>
          <w:sz w:val="32"/>
          <w:szCs w:val="32"/>
        </w:rPr>
        <w:t>与上年相比减少（增加）</w:t>
      </w:r>
      <w:r>
        <w:rPr>
          <w:rFonts w:ascii="宋体" w:hAnsi="宋体" w:eastAsia="宋体"/>
          <w:sz w:val="32"/>
          <w:szCs w:val="32"/>
        </w:rPr>
        <w:t>0</w:t>
      </w:r>
      <w:r>
        <w:rPr>
          <w:rFonts w:hint="eastAsia" w:ascii="宋体" w:hAnsi="宋体" w:eastAsia="宋体"/>
          <w:sz w:val="32"/>
          <w:szCs w:val="32"/>
        </w:rPr>
        <w:t>万元，减少（增长）</w:t>
      </w:r>
      <w:r>
        <w:rPr>
          <w:rFonts w:ascii="宋体" w:hAnsi="宋体" w:eastAsia="宋体"/>
          <w:sz w:val="32"/>
          <w:szCs w:val="32"/>
        </w:rPr>
        <w:t>0%,</w:t>
      </w:r>
      <w:r>
        <w:rPr>
          <w:rFonts w:hint="eastAsia" w:ascii="宋体" w:hAnsi="宋体" w:eastAsia="宋体"/>
          <w:sz w:val="32"/>
          <w:szCs w:val="32"/>
        </w:rPr>
        <w:t>减少（增长）的主要原因是未发生因公出国（境）费支出。</w:t>
      </w:r>
    </w:p>
    <w:p>
      <w:pPr>
        <w:pStyle w:val="9"/>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ascii="宋体" w:hAnsi="宋体" w:eastAsia="宋体"/>
          <w:sz w:val="32"/>
          <w:szCs w:val="32"/>
        </w:rPr>
        <w:t>2</w:t>
      </w:r>
      <w:r>
        <w:rPr>
          <w:rFonts w:hint="eastAsia" w:ascii="宋体" w:hAnsi="宋体" w:eastAsia="宋体"/>
          <w:sz w:val="32"/>
          <w:szCs w:val="32"/>
        </w:rPr>
        <w:t>万元，支出决算为</w:t>
      </w:r>
      <w:r>
        <w:rPr>
          <w:rFonts w:ascii="宋体" w:hAnsi="宋体" w:eastAsia="宋体"/>
          <w:sz w:val="32"/>
          <w:szCs w:val="32"/>
        </w:rPr>
        <w:t>2</w:t>
      </w:r>
      <w:r>
        <w:rPr>
          <w:rFonts w:hint="eastAsia" w:ascii="宋体" w:hAnsi="宋体" w:eastAsia="宋体"/>
          <w:sz w:val="32"/>
          <w:szCs w:val="32"/>
        </w:rPr>
        <w:t>万元，完成预算的</w:t>
      </w:r>
      <w:r>
        <w:rPr>
          <w:rFonts w:ascii="宋体" w:hAnsi="宋体" w:eastAsia="宋体"/>
          <w:sz w:val="32"/>
          <w:szCs w:val="32"/>
        </w:rPr>
        <w:t>100%</w:t>
      </w:r>
      <w:r>
        <w:rPr>
          <w:rFonts w:hint="eastAsia" w:ascii="宋体" w:hAnsi="宋体" w:eastAsia="宋体"/>
          <w:sz w:val="32"/>
          <w:szCs w:val="32"/>
        </w:rPr>
        <w:t>，与上年相比增加</w:t>
      </w:r>
      <w:r>
        <w:rPr>
          <w:rFonts w:ascii="宋体" w:hAnsi="宋体" w:eastAsia="宋体"/>
          <w:sz w:val="32"/>
          <w:szCs w:val="32"/>
        </w:rPr>
        <w:t>0.24</w:t>
      </w:r>
      <w:r>
        <w:rPr>
          <w:rFonts w:hint="eastAsia" w:ascii="宋体" w:hAnsi="宋体" w:eastAsia="宋体"/>
          <w:sz w:val="32"/>
          <w:szCs w:val="32"/>
        </w:rPr>
        <w:t>万元，增长</w:t>
      </w:r>
      <w:r>
        <w:rPr>
          <w:rFonts w:ascii="宋体" w:hAnsi="宋体" w:eastAsia="宋体"/>
          <w:sz w:val="32"/>
          <w:szCs w:val="32"/>
        </w:rPr>
        <w:t>13.64%,</w:t>
      </w:r>
      <w:r>
        <w:rPr>
          <w:rFonts w:hint="eastAsia" w:ascii="宋体" w:hAnsi="宋体" w:eastAsia="宋体"/>
          <w:sz w:val="32"/>
          <w:szCs w:val="32"/>
        </w:rPr>
        <w:t>增长的原因是按规章制度正常开支。</w:t>
      </w:r>
    </w:p>
    <w:p>
      <w:pPr>
        <w:pStyle w:val="9"/>
        <w:ind w:firstLine="640" w:firstLineChars="200"/>
        <w:rPr>
          <w:rFonts w:ascii="宋体" w:hAnsi="宋体" w:eastAsia="宋体"/>
          <w:sz w:val="32"/>
          <w:szCs w:val="32"/>
        </w:rPr>
      </w:pPr>
      <w:r>
        <w:rPr>
          <w:rFonts w:hint="eastAsia" w:ascii="宋体" w:hAnsi="宋体" w:eastAsia="宋体"/>
          <w:sz w:val="32"/>
          <w:szCs w:val="32"/>
        </w:rPr>
        <w:t>公务用车购置费支出预算为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w:t>
      </w:r>
      <w:r>
        <w:rPr>
          <w:rFonts w:hint="eastAsia" w:ascii="宋体" w:hAnsi="宋体" w:eastAsia="宋体"/>
          <w:sz w:val="32"/>
          <w:szCs w:val="32"/>
          <w:lang w:val="en-US" w:eastAsia="zh-CN"/>
        </w:rPr>
        <w:t>由于预算数为0，无法计算百分比，</w:t>
      </w:r>
      <w:r>
        <w:rPr>
          <w:rFonts w:hint="eastAsia" w:ascii="宋体" w:hAnsi="宋体" w:eastAsia="宋体"/>
          <w:sz w:val="32"/>
          <w:szCs w:val="32"/>
        </w:rPr>
        <w:t>与上年相比减少（增加）</w:t>
      </w:r>
      <w:r>
        <w:rPr>
          <w:rFonts w:ascii="宋体" w:hAnsi="宋体" w:eastAsia="宋体"/>
          <w:sz w:val="32"/>
          <w:szCs w:val="32"/>
        </w:rPr>
        <w:t>0</w:t>
      </w:r>
      <w:r>
        <w:rPr>
          <w:rFonts w:hint="eastAsia" w:ascii="宋体" w:hAnsi="宋体" w:eastAsia="宋体"/>
          <w:sz w:val="32"/>
          <w:szCs w:val="32"/>
        </w:rPr>
        <w:t>万元，减少（增长）</w:t>
      </w:r>
      <w:r>
        <w:rPr>
          <w:rFonts w:ascii="宋体" w:hAnsi="宋体" w:eastAsia="宋体"/>
          <w:sz w:val="32"/>
          <w:szCs w:val="32"/>
        </w:rPr>
        <w:t>0%,</w:t>
      </w:r>
      <w:r>
        <w:rPr>
          <w:rFonts w:hint="eastAsia" w:ascii="宋体" w:hAnsi="宋体" w:eastAsia="宋体"/>
          <w:sz w:val="32"/>
          <w:szCs w:val="32"/>
        </w:rPr>
        <w:t>减少（增长）的主要原因是本年度单位没有购置公务用车。</w:t>
      </w:r>
    </w:p>
    <w:p>
      <w:pPr>
        <w:pStyle w:val="9"/>
        <w:ind w:firstLine="640" w:firstLineChars="200"/>
        <w:rPr>
          <w:rFonts w:ascii="宋体" w:hAnsi="宋体" w:eastAsia="宋体"/>
          <w:sz w:val="32"/>
          <w:szCs w:val="32"/>
        </w:rPr>
      </w:pPr>
      <w:r>
        <w:rPr>
          <w:rFonts w:hint="eastAsia" w:ascii="宋体" w:hAnsi="宋体" w:eastAsia="宋体"/>
          <w:sz w:val="32"/>
          <w:szCs w:val="32"/>
        </w:rPr>
        <w:t>公务用车运行维护费支出预算为</w:t>
      </w:r>
      <w:r>
        <w:rPr>
          <w:rFonts w:ascii="宋体" w:hAnsi="宋体" w:eastAsia="宋体"/>
          <w:sz w:val="32"/>
          <w:szCs w:val="32"/>
        </w:rPr>
        <w:t>13.5</w:t>
      </w:r>
      <w:r>
        <w:rPr>
          <w:rFonts w:hint="eastAsia" w:ascii="宋体" w:hAnsi="宋体" w:eastAsia="宋体"/>
          <w:sz w:val="32"/>
          <w:szCs w:val="32"/>
        </w:rPr>
        <w:t>万元，支出决算为</w:t>
      </w:r>
      <w:r>
        <w:rPr>
          <w:rFonts w:ascii="宋体" w:hAnsi="宋体" w:eastAsia="宋体"/>
          <w:sz w:val="32"/>
          <w:szCs w:val="32"/>
        </w:rPr>
        <w:t>13.5</w:t>
      </w:r>
      <w:r>
        <w:rPr>
          <w:rFonts w:hint="eastAsia" w:ascii="宋体" w:hAnsi="宋体" w:eastAsia="宋体"/>
          <w:sz w:val="32"/>
          <w:szCs w:val="32"/>
        </w:rPr>
        <w:t>万元，完成预算的</w:t>
      </w:r>
      <w:r>
        <w:rPr>
          <w:rFonts w:ascii="宋体" w:hAnsi="宋体" w:eastAsia="宋体"/>
          <w:sz w:val="32"/>
          <w:szCs w:val="32"/>
        </w:rPr>
        <w:t>100%</w:t>
      </w:r>
      <w:r>
        <w:rPr>
          <w:rFonts w:hint="eastAsia" w:ascii="宋体" w:hAnsi="宋体" w:eastAsia="宋体"/>
          <w:sz w:val="32"/>
          <w:szCs w:val="32"/>
        </w:rPr>
        <w:t>，与上年相比持平。</w:t>
      </w:r>
    </w:p>
    <w:p>
      <w:pPr>
        <w:pStyle w:val="9"/>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9"/>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年度“三公”经费财政拨款支出决算中，公务接待费支出决算</w:t>
      </w:r>
      <w:r>
        <w:rPr>
          <w:rFonts w:ascii="宋体" w:hAnsi="宋体" w:eastAsia="宋体"/>
          <w:sz w:val="32"/>
          <w:szCs w:val="32"/>
        </w:rPr>
        <w:t>2</w:t>
      </w:r>
      <w:r>
        <w:rPr>
          <w:rFonts w:hint="eastAsia" w:ascii="宋体" w:hAnsi="宋体" w:eastAsia="宋体"/>
          <w:sz w:val="32"/>
          <w:szCs w:val="32"/>
        </w:rPr>
        <w:t>万元，占</w:t>
      </w:r>
      <w:r>
        <w:rPr>
          <w:rFonts w:ascii="宋体" w:hAnsi="宋体" w:eastAsia="宋体"/>
          <w:sz w:val="32"/>
          <w:szCs w:val="32"/>
        </w:rPr>
        <w:t>12.9%,</w:t>
      </w:r>
      <w:r>
        <w:rPr>
          <w:rFonts w:hint="eastAsia" w:ascii="宋体" w:hAnsi="宋体" w:eastAsia="宋体"/>
          <w:sz w:val="32"/>
          <w:szCs w:val="32"/>
        </w:rPr>
        <w:t>因公出国（境）费支出决算</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公务用车购置费及运行维护费支出决算</w:t>
      </w:r>
      <w:r>
        <w:rPr>
          <w:rFonts w:ascii="宋体" w:hAnsi="宋体" w:eastAsia="宋体"/>
          <w:sz w:val="32"/>
          <w:szCs w:val="32"/>
        </w:rPr>
        <w:t>13.5</w:t>
      </w:r>
      <w:r>
        <w:rPr>
          <w:rFonts w:hint="eastAsia" w:ascii="宋体" w:hAnsi="宋体" w:eastAsia="宋体"/>
          <w:sz w:val="32"/>
          <w:szCs w:val="32"/>
        </w:rPr>
        <w:t>万元，占</w:t>
      </w:r>
      <w:r>
        <w:rPr>
          <w:rFonts w:ascii="宋体" w:hAnsi="宋体" w:eastAsia="宋体"/>
          <w:sz w:val="32"/>
          <w:szCs w:val="32"/>
        </w:rPr>
        <w:t>87.1%</w:t>
      </w:r>
      <w:r>
        <w:rPr>
          <w:rFonts w:hint="eastAsia" w:ascii="宋体" w:hAnsi="宋体" w:eastAsia="宋体"/>
          <w:sz w:val="32"/>
          <w:szCs w:val="32"/>
        </w:rPr>
        <w:t>。其中：</w:t>
      </w:r>
    </w:p>
    <w:p>
      <w:pPr>
        <w:pStyle w:val="9"/>
        <w:ind w:firstLine="640" w:firstLineChars="200"/>
        <w:rPr>
          <w:rFonts w:ascii="宋体" w:hAnsi="宋体" w:eastAsia="宋体"/>
          <w:b/>
          <w:sz w:val="32"/>
          <w:szCs w:val="32"/>
        </w:rPr>
      </w:pPr>
      <w:r>
        <w:rPr>
          <w:rFonts w:ascii="宋体" w:hAnsi="宋体" w:eastAsia="宋体"/>
          <w:sz w:val="32"/>
          <w:szCs w:val="32"/>
        </w:rPr>
        <w:t>1</w:t>
      </w:r>
      <w:r>
        <w:rPr>
          <w:rFonts w:hint="eastAsia" w:ascii="宋体" w:hAnsi="宋体" w:eastAsia="宋体"/>
          <w:sz w:val="32"/>
          <w:szCs w:val="32"/>
        </w:rPr>
        <w:t>、因公出国（境）费支出决算为</w:t>
      </w:r>
      <w:r>
        <w:rPr>
          <w:rFonts w:ascii="宋体" w:hAnsi="宋体" w:eastAsia="宋体"/>
          <w:sz w:val="32"/>
          <w:szCs w:val="32"/>
        </w:rPr>
        <w:t>0</w:t>
      </w:r>
      <w:r>
        <w:rPr>
          <w:rFonts w:hint="eastAsia" w:ascii="宋体" w:hAnsi="宋体" w:eastAsia="宋体"/>
          <w:sz w:val="32"/>
          <w:szCs w:val="32"/>
        </w:rPr>
        <w:t>万元，全年安排因公出国（境）团组</w:t>
      </w:r>
      <w:r>
        <w:rPr>
          <w:rFonts w:ascii="宋体" w:hAnsi="宋体" w:eastAsia="宋体"/>
          <w:sz w:val="32"/>
          <w:szCs w:val="32"/>
        </w:rPr>
        <w:t>0</w:t>
      </w:r>
      <w:r>
        <w:rPr>
          <w:rFonts w:hint="eastAsia" w:ascii="宋体" w:hAnsi="宋体" w:eastAsia="宋体"/>
          <w:sz w:val="32"/>
          <w:szCs w:val="32"/>
        </w:rPr>
        <w:t>个，累计</w:t>
      </w:r>
      <w:r>
        <w:rPr>
          <w:rFonts w:ascii="宋体" w:hAnsi="宋体" w:eastAsia="宋体"/>
          <w:sz w:val="32"/>
          <w:szCs w:val="32"/>
        </w:rPr>
        <w:t>0</w:t>
      </w:r>
      <w:r>
        <w:rPr>
          <w:rFonts w:hint="eastAsia" w:ascii="宋体" w:hAnsi="宋体" w:eastAsia="宋体"/>
          <w:sz w:val="32"/>
          <w:szCs w:val="32"/>
        </w:rPr>
        <w:t>人次</w:t>
      </w:r>
      <w:r>
        <w:rPr>
          <w:rFonts w:hint="eastAsia" w:ascii="宋体" w:hAnsi="宋体" w:eastAsia="宋体"/>
          <w:i/>
          <w:color w:val="auto"/>
          <w:sz w:val="32"/>
          <w:szCs w:val="32"/>
        </w:rPr>
        <w:t>。</w:t>
      </w:r>
    </w:p>
    <w:p>
      <w:pPr>
        <w:pStyle w:val="9"/>
        <w:ind w:firstLine="800" w:firstLineChars="250"/>
        <w:rPr>
          <w:rFonts w:ascii="宋体" w:hAnsi="宋体" w:eastAsia="宋体"/>
          <w:color w:val="auto"/>
          <w:sz w:val="32"/>
          <w:szCs w:val="32"/>
        </w:rPr>
      </w:pPr>
      <w:r>
        <w:rPr>
          <w:rFonts w:ascii="宋体" w:hAnsi="宋体" w:eastAsia="宋体"/>
          <w:sz w:val="32"/>
          <w:szCs w:val="32"/>
        </w:rPr>
        <w:t>2</w:t>
      </w:r>
      <w:r>
        <w:rPr>
          <w:rFonts w:hint="eastAsia" w:ascii="宋体" w:hAnsi="宋体" w:eastAsia="宋体"/>
          <w:sz w:val="32"/>
          <w:szCs w:val="32"/>
        </w:rPr>
        <w:t>、公务接待费支出决算为</w:t>
      </w:r>
      <w:r>
        <w:rPr>
          <w:rFonts w:ascii="宋体" w:hAnsi="宋体" w:eastAsia="宋体"/>
          <w:sz w:val="32"/>
          <w:szCs w:val="32"/>
        </w:rPr>
        <w:t>2</w:t>
      </w:r>
      <w:r>
        <w:rPr>
          <w:rFonts w:hint="eastAsia" w:ascii="宋体" w:hAnsi="宋体" w:eastAsia="宋体"/>
          <w:sz w:val="32"/>
          <w:szCs w:val="32"/>
        </w:rPr>
        <w:t>万元，全年共接待来访团组</w:t>
      </w:r>
      <w:r>
        <w:rPr>
          <w:rFonts w:ascii="宋体" w:hAnsi="宋体" w:eastAsia="宋体"/>
          <w:sz w:val="32"/>
          <w:szCs w:val="32"/>
        </w:rPr>
        <w:t>18</w:t>
      </w:r>
      <w:r>
        <w:rPr>
          <w:rFonts w:hint="eastAsia" w:ascii="宋体" w:hAnsi="宋体" w:eastAsia="宋体"/>
          <w:sz w:val="32"/>
          <w:szCs w:val="32"/>
        </w:rPr>
        <w:t>个、来宾</w:t>
      </w:r>
      <w:r>
        <w:rPr>
          <w:rFonts w:ascii="宋体" w:hAnsi="宋体" w:eastAsia="宋体"/>
          <w:sz w:val="32"/>
          <w:szCs w:val="32"/>
        </w:rPr>
        <w:t>184</w:t>
      </w:r>
      <w:r>
        <w:rPr>
          <w:rFonts w:hint="eastAsia" w:ascii="宋体" w:hAnsi="宋体" w:eastAsia="宋体"/>
          <w:sz w:val="32"/>
          <w:szCs w:val="32"/>
        </w:rPr>
        <w:t>人次，主要是</w:t>
      </w:r>
      <w:r>
        <w:rPr>
          <w:rFonts w:hint="eastAsia" w:ascii="宋体" w:hAnsi="宋体" w:eastAsia="宋体"/>
          <w:color w:val="auto"/>
          <w:sz w:val="32"/>
          <w:szCs w:val="32"/>
        </w:rPr>
        <w:t>日常工作中发生的接待支出。</w:t>
      </w:r>
    </w:p>
    <w:p>
      <w:pPr>
        <w:ind w:firstLine="800" w:firstLineChars="250"/>
        <w:rPr>
          <w:rFonts w:ascii="宋体" w:cs="黑体"/>
          <w:color w:val="000000"/>
          <w:kern w:val="0"/>
          <w:sz w:val="32"/>
          <w:szCs w:val="32"/>
        </w:rPr>
      </w:pPr>
      <w:r>
        <w:rPr>
          <w:rFonts w:ascii="宋体" w:hAnsi="宋体"/>
          <w:sz w:val="32"/>
          <w:szCs w:val="32"/>
        </w:rPr>
        <w:t>3</w:t>
      </w:r>
      <w:r>
        <w:rPr>
          <w:rFonts w:hint="eastAsia" w:ascii="宋体" w:hAnsi="宋体"/>
          <w:sz w:val="32"/>
          <w:szCs w:val="32"/>
        </w:rPr>
        <w:t>、公务用车购置费及运行维护费支出决算为</w:t>
      </w:r>
      <w:r>
        <w:rPr>
          <w:rFonts w:ascii="宋体" w:hAnsi="宋体"/>
          <w:sz w:val="32"/>
          <w:szCs w:val="32"/>
        </w:rPr>
        <w:t>13.5</w:t>
      </w:r>
      <w:r>
        <w:rPr>
          <w:rFonts w:hint="eastAsia" w:ascii="宋体" w:hAnsi="宋体"/>
          <w:sz w:val="32"/>
          <w:szCs w:val="32"/>
        </w:rPr>
        <w:t>万元，其中：公务用车购置费</w:t>
      </w:r>
      <w:r>
        <w:rPr>
          <w:rFonts w:ascii="宋体"/>
          <w:sz w:val="32"/>
          <w:szCs w:val="32"/>
        </w:rPr>
        <w:t>0</w:t>
      </w:r>
      <w:r>
        <w:rPr>
          <w:rFonts w:hint="eastAsia" w:ascii="宋体" w:hAnsi="宋体"/>
          <w:sz w:val="32"/>
          <w:szCs w:val="32"/>
        </w:rPr>
        <w:t>万元，单位</w:t>
      </w:r>
      <w:r>
        <w:rPr>
          <w:rFonts w:hint="eastAsia" w:asciiTheme="minorEastAsia" w:hAnsiTheme="minorEastAsia"/>
          <w:sz w:val="32"/>
          <w:szCs w:val="32"/>
        </w:rPr>
        <w:t>更新公务用车0辆</w:t>
      </w:r>
      <w:r>
        <w:rPr>
          <w:rFonts w:hint="eastAsia" w:ascii="宋体" w:hAnsi="宋体"/>
          <w:color w:val="000000" w:themeColor="text1"/>
          <w:sz w:val="32"/>
          <w:szCs w:val="32"/>
        </w:rPr>
        <w:t>。</w:t>
      </w:r>
      <w:r>
        <w:rPr>
          <w:rFonts w:hint="eastAsia" w:ascii="宋体" w:hAnsi="宋体"/>
          <w:sz w:val="32"/>
          <w:szCs w:val="32"/>
        </w:rPr>
        <w:t>公务用车运行维护费</w:t>
      </w:r>
      <w:r>
        <w:rPr>
          <w:rFonts w:ascii="宋体" w:hAnsi="宋体"/>
          <w:sz w:val="32"/>
          <w:szCs w:val="32"/>
        </w:rPr>
        <w:t>13.5</w:t>
      </w:r>
      <w:r>
        <w:rPr>
          <w:rFonts w:hint="eastAsia" w:ascii="宋体" w:hAnsi="宋体"/>
          <w:sz w:val="32"/>
          <w:szCs w:val="32"/>
        </w:rPr>
        <w:t>万元，主要是燃油费、维修费、过路过桥费等支出，截止</w:t>
      </w:r>
      <w:r>
        <w:rPr>
          <w:rFonts w:ascii="宋体" w:hAnsi="宋体"/>
          <w:sz w:val="32"/>
          <w:szCs w:val="32"/>
        </w:rPr>
        <w:t>2021</w:t>
      </w:r>
      <w:r>
        <w:rPr>
          <w:rFonts w:hint="eastAsia" w:ascii="宋体" w:hAnsi="宋体"/>
          <w:sz w:val="32"/>
          <w:szCs w:val="32"/>
        </w:rPr>
        <w:t>年</w:t>
      </w:r>
      <w:r>
        <w:rPr>
          <w:rFonts w:ascii="宋体" w:hAnsi="宋体"/>
          <w:sz w:val="32"/>
          <w:szCs w:val="32"/>
        </w:rPr>
        <w:t>12</w:t>
      </w:r>
      <w:r>
        <w:rPr>
          <w:rFonts w:hint="eastAsia" w:ascii="宋体" w:hAnsi="宋体"/>
          <w:sz w:val="32"/>
          <w:szCs w:val="32"/>
        </w:rPr>
        <w:t>月</w:t>
      </w:r>
      <w:r>
        <w:rPr>
          <w:rFonts w:ascii="宋体" w:hAnsi="宋体"/>
          <w:sz w:val="32"/>
          <w:szCs w:val="32"/>
        </w:rPr>
        <w:t>31</w:t>
      </w:r>
      <w:r>
        <w:rPr>
          <w:rFonts w:hint="eastAsia" w:ascii="宋体" w:hAnsi="宋体"/>
          <w:sz w:val="32"/>
          <w:szCs w:val="32"/>
        </w:rPr>
        <w:t>日，我单位开支财政拨款的公务用车保有量为</w:t>
      </w:r>
      <w:r>
        <w:rPr>
          <w:rFonts w:ascii="宋体" w:hAnsi="宋体"/>
          <w:sz w:val="32"/>
          <w:szCs w:val="32"/>
        </w:rPr>
        <w:t>3</w:t>
      </w:r>
      <w:r>
        <w:rPr>
          <w:rFonts w:hint="eastAsia" w:ascii="宋体" w:hAnsi="宋体"/>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2021年度政府性基金预算财政拨款收入0万元；年初结转和结余0万元；支出0万元，其中基本支出0万元，项目支出0万元；年末结转和结余0万元。本单位2021年无政府性基金预算收入支出。</w:t>
      </w:r>
    </w:p>
    <w:p>
      <w:pPr>
        <w:pStyle w:val="9"/>
        <w:rPr>
          <w:rFonts w:hAnsi="黑体"/>
          <w:b/>
          <w:sz w:val="32"/>
          <w:szCs w:val="32"/>
        </w:rPr>
      </w:pPr>
      <w:r>
        <w:rPr>
          <w:rFonts w:hint="eastAsia" w:hAnsi="黑体"/>
          <w:b/>
          <w:sz w:val="32"/>
          <w:szCs w:val="32"/>
        </w:rPr>
        <w:t>九、机关运行经费支出说明</w:t>
      </w:r>
    </w:p>
    <w:p>
      <w:pPr>
        <w:pStyle w:val="9"/>
        <w:ind w:firstLine="480" w:firstLineChars="150"/>
        <w:rPr>
          <w:rFonts w:ascii="宋体" w:hAnsi="宋体" w:eastAsia="宋体" w:cs="Times New Roman"/>
          <w:color w:val="auto"/>
          <w:kern w:val="2"/>
          <w:sz w:val="32"/>
          <w:szCs w:val="32"/>
        </w:rPr>
      </w:pPr>
      <w:r>
        <w:rPr>
          <w:rFonts w:hint="eastAsia" w:ascii="宋体" w:hAnsi="宋体" w:eastAsia="宋体" w:cs="Times New Roman"/>
          <w:color w:val="auto"/>
          <w:kern w:val="2"/>
          <w:sz w:val="32"/>
          <w:szCs w:val="32"/>
        </w:rPr>
        <w:t>本单位无机关运行经费支出。</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年本部门开支会议费</w:t>
      </w:r>
      <w:r>
        <w:rPr>
          <w:rFonts w:ascii="宋体" w:hAnsi="宋体" w:eastAsia="宋体"/>
          <w:sz w:val="32"/>
          <w:szCs w:val="32"/>
        </w:rPr>
        <w:t>0</w:t>
      </w:r>
      <w:r>
        <w:rPr>
          <w:rFonts w:hint="eastAsia" w:ascii="宋体" w:hAnsi="宋体" w:eastAsia="宋体"/>
          <w:sz w:val="32"/>
          <w:szCs w:val="32"/>
        </w:rPr>
        <w:t>万元；开支培训费</w:t>
      </w:r>
      <w:r>
        <w:rPr>
          <w:rFonts w:ascii="宋体" w:hAnsi="宋体" w:eastAsia="宋体"/>
          <w:sz w:val="32"/>
          <w:szCs w:val="32"/>
        </w:rPr>
        <w:t>8</w:t>
      </w:r>
      <w:r>
        <w:rPr>
          <w:rFonts w:hint="eastAsia" w:ascii="宋体" w:hAnsi="宋体" w:eastAsia="宋体"/>
          <w:sz w:val="32"/>
          <w:szCs w:val="32"/>
        </w:rPr>
        <w:t>万元，用于开展地勘单位转型人员等各类专题培训，共计</w:t>
      </w:r>
      <w:r>
        <w:rPr>
          <w:rFonts w:ascii="宋体" w:hAnsi="宋体" w:eastAsia="宋体"/>
          <w:sz w:val="32"/>
          <w:szCs w:val="32"/>
        </w:rPr>
        <w:t>266</w:t>
      </w:r>
      <w:r>
        <w:rPr>
          <w:rFonts w:hint="eastAsia" w:ascii="宋体" w:hAnsi="宋体" w:eastAsia="宋体"/>
          <w:sz w:val="32"/>
          <w:szCs w:val="32"/>
        </w:rPr>
        <w:t>人次，内容为施工技术与安全知识培训费、安全生产相关法律法规安全技术知识培训、湖南省</w:t>
      </w:r>
      <w:r>
        <w:rPr>
          <w:rFonts w:ascii="宋体" w:hAnsi="宋体" w:eastAsia="宋体"/>
          <w:sz w:val="32"/>
          <w:szCs w:val="32"/>
        </w:rPr>
        <w:t>2021</w:t>
      </w:r>
      <w:r>
        <w:rPr>
          <w:rFonts w:hint="eastAsia" w:ascii="宋体" w:hAnsi="宋体" w:eastAsia="宋体"/>
          <w:sz w:val="32"/>
          <w:szCs w:val="32"/>
        </w:rPr>
        <w:t>年绿色矿山建设第三方评估培训、质量管理小组活动准则、全省矿产资源储量技术要求培训、院属工程施工企业依法经营法律法规学习、核技术在地质勘查中的应用和知识培训、院经营管理与法律风险防范专题培训、院宣传干部新媒体培训、事业单位在岗人员</w:t>
      </w:r>
      <w:r>
        <w:rPr>
          <w:rFonts w:ascii="宋体" w:hAnsi="宋体" w:eastAsia="宋体"/>
          <w:sz w:val="32"/>
          <w:szCs w:val="32"/>
        </w:rPr>
        <w:t>2021</w:t>
      </w:r>
      <w:r>
        <w:rPr>
          <w:rFonts w:hint="eastAsia" w:ascii="宋体" w:hAnsi="宋体" w:eastAsia="宋体"/>
          <w:sz w:val="32"/>
          <w:szCs w:val="32"/>
        </w:rPr>
        <w:t>年培训；全年未举办节庆、晚会、论坛、赛事活动，开支</w:t>
      </w:r>
      <w:r>
        <w:rPr>
          <w:rFonts w:ascii="宋体" w:hAnsi="宋体" w:eastAsia="宋体"/>
          <w:sz w:val="32"/>
          <w:szCs w:val="32"/>
        </w:rPr>
        <w:t>0</w:t>
      </w:r>
      <w:r>
        <w:rPr>
          <w:rFonts w:hint="eastAsia" w:ascii="宋体" w:hAnsi="宋体" w:eastAsia="宋体"/>
          <w:sz w:val="32"/>
          <w:szCs w:val="32"/>
        </w:rPr>
        <w:t>万元。</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宋体" w:hAnsi="宋体" w:eastAsia="宋体"/>
          <w:sz w:val="32"/>
          <w:szCs w:val="32"/>
        </w:rPr>
      </w:pPr>
      <w:r>
        <w:rPr>
          <w:rFonts w:hint="eastAsia" w:ascii="宋体" w:hAnsi="宋体" w:eastAsia="宋体"/>
          <w:sz w:val="32"/>
          <w:szCs w:val="32"/>
        </w:rPr>
        <w:t>截至</w:t>
      </w:r>
      <w:r>
        <w:rPr>
          <w:rFonts w:ascii="宋体" w:hAnsi="宋体" w:eastAsia="宋体"/>
          <w:sz w:val="32"/>
          <w:szCs w:val="32"/>
        </w:rPr>
        <w:t>2021</w:t>
      </w:r>
      <w:r>
        <w:rPr>
          <w:rFonts w:hint="eastAsia" w:ascii="宋体" w:hAnsi="宋体" w:eastAsia="宋体"/>
          <w:sz w:val="32"/>
          <w:szCs w:val="32"/>
        </w:rPr>
        <w:t>年</w:t>
      </w:r>
      <w:r>
        <w:rPr>
          <w:rFonts w:ascii="宋体" w:hAnsi="宋体" w:eastAsia="宋体"/>
          <w:sz w:val="32"/>
          <w:szCs w:val="32"/>
        </w:rPr>
        <w:t>12</w:t>
      </w:r>
      <w:r>
        <w:rPr>
          <w:rFonts w:hint="eastAsia" w:ascii="宋体" w:hAnsi="宋体" w:eastAsia="宋体"/>
          <w:sz w:val="32"/>
          <w:szCs w:val="32"/>
        </w:rPr>
        <w:t>月</w:t>
      </w:r>
      <w:r>
        <w:rPr>
          <w:rFonts w:ascii="宋体" w:hAnsi="宋体" w:eastAsia="宋体"/>
          <w:sz w:val="32"/>
          <w:szCs w:val="32"/>
        </w:rPr>
        <w:t>31</w:t>
      </w:r>
      <w:r>
        <w:rPr>
          <w:rFonts w:hint="eastAsia" w:ascii="宋体" w:hAnsi="宋体" w:eastAsia="宋体"/>
          <w:sz w:val="32"/>
          <w:szCs w:val="32"/>
        </w:rPr>
        <w:t>日，部门（单位）共有车辆</w:t>
      </w:r>
      <w:r>
        <w:rPr>
          <w:rFonts w:ascii="宋体" w:hAnsi="宋体" w:eastAsia="宋体"/>
          <w:sz w:val="32"/>
          <w:szCs w:val="32"/>
        </w:rPr>
        <w:t>3</w:t>
      </w:r>
      <w:r>
        <w:rPr>
          <w:rFonts w:hint="eastAsia" w:ascii="宋体" w:hAnsi="宋体" w:eastAsia="宋体"/>
          <w:sz w:val="32"/>
          <w:szCs w:val="32"/>
        </w:rPr>
        <w:t>辆，其中，主要领导干部用车</w:t>
      </w:r>
      <w:r>
        <w:rPr>
          <w:rFonts w:ascii="宋体" w:hAnsi="宋体" w:eastAsia="宋体"/>
          <w:sz w:val="32"/>
          <w:szCs w:val="32"/>
        </w:rPr>
        <w:t>0</w:t>
      </w:r>
      <w:r>
        <w:rPr>
          <w:rFonts w:hint="eastAsia" w:ascii="宋体" w:hAnsi="宋体" w:eastAsia="宋体"/>
          <w:sz w:val="32"/>
          <w:szCs w:val="32"/>
        </w:rPr>
        <w:t>辆，机要通信用车</w:t>
      </w:r>
      <w:r>
        <w:rPr>
          <w:rFonts w:ascii="宋体" w:hAnsi="宋体" w:eastAsia="宋体"/>
          <w:sz w:val="32"/>
          <w:szCs w:val="32"/>
        </w:rPr>
        <w:t>0</w:t>
      </w:r>
      <w:r>
        <w:rPr>
          <w:rFonts w:hint="eastAsia" w:ascii="宋体" w:hAnsi="宋体" w:eastAsia="宋体"/>
          <w:sz w:val="32"/>
          <w:szCs w:val="32"/>
        </w:rPr>
        <w:t>辆、应急保障用车</w:t>
      </w:r>
      <w:r>
        <w:rPr>
          <w:rFonts w:ascii="宋体" w:hAnsi="宋体" w:eastAsia="宋体"/>
          <w:sz w:val="32"/>
          <w:szCs w:val="32"/>
        </w:rPr>
        <w:t>0</w:t>
      </w:r>
      <w:r>
        <w:rPr>
          <w:rFonts w:hint="eastAsia" w:ascii="宋体" w:hAnsi="宋体" w:eastAsia="宋体"/>
          <w:sz w:val="32"/>
          <w:szCs w:val="32"/>
        </w:rPr>
        <w:t>辆、执法执勤用车</w:t>
      </w:r>
      <w:r>
        <w:rPr>
          <w:rFonts w:ascii="宋体" w:hAnsi="宋体" w:eastAsia="宋体"/>
          <w:sz w:val="32"/>
          <w:szCs w:val="32"/>
        </w:rPr>
        <w:t>0</w:t>
      </w:r>
      <w:r>
        <w:rPr>
          <w:rFonts w:hint="eastAsia" w:ascii="宋体" w:hAnsi="宋体" w:eastAsia="宋体"/>
          <w:sz w:val="32"/>
          <w:szCs w:val="32"/>
        </w:rPr>
        <w:t>辆、特种专业技术用车</w:t>
      </w:r>
      <w:r>
        <w:rPr>
          <w:rFonts w:ascii="宋体" w:hAnsi="宋体" w:eastAsia="宋体"/>
          <w:sz w:val="32"/>
          <w:szCs w:val="32"/>
        </w:rPr>
        <w:t>1</w:t>
      </w:r>
      <w:r>
        <w:rPr>
          <w:rFonts w:hint="eastAsia" w:ascii="宋体" w:hAnsi="宋体" w:eastAsia="宋体"/>
          <w:sz w:val="32"/>
          <w:szCs w:val="32"/>
        </w:rPr>
        <w:t>辆、其他用车</w:t>
      </w:r>
      <w:r>
        <w:rPr>
          <w:rFonts w:ascii="宋体" w:hAnsi="宋体" w:eastAsia="宋体"/>
          <w:sz w:val="32"/>
          <w:szCs w:val="32"/>
        </w:rPr>
        <w:t>2</w:t>
      </w:r>
      <w:r>
        <w:rPr>
          <w:rFonts w:hint="eastAsia" w:ascii="宋体" w:hAnsi="宋体" w:eastAsia="宋体"/>
          <w:sz w:val="32"/>
          <w:szCs w:val="32"/>
        </w:rPr>
        <w:t>辆，其他用车主要是单位公务用车；单位价值</w:t>
      </w:r>
      <w:r>
        <w:rPr>
          <w:rFonts w:ascii="宋体" w:hAnsi="宋体" w:eastAsia="宋体"/>
          <w:sz w:val="32"/>
          <w:szCs w:val="32"/>
        </w:rPr>
        <w:t>50</w:t>
      </w:r>
      <w:r>
        <w:rPr>
          <w:rFonts w:hint="eastAsia" w:ascii="宋体" w:hAnsi="宋体" w:eastAsia="宋体"/>
          <w:sz w:val="32"/>
          <w:szCs w:val="32"/>
        </w:rPr>
        <w:t>万元以上通用设备</w:t>
      </w:r>
      <w:r>
        <w:rPr>
          <w:rFonts w:ascii="宋体" w:hAnsi="宋体" w:eastAsia="宋体"/>
          <w:sz w:val="32"/>
          <w:szCs w:val="32"/>
        </w:rPr>
        <w:t>0</w:t>
      </w:r>
      <w:r>
        <w:rPr>
          <w:rFonts w:hint="eastAsia" w:ascii="宋体" w:hAnsi="宋体" w:eastAsia="宋体"/>
          <w:sz w:val="32"/>
          <w:szCs w:val="32"/>
        </w:rPr>
        <w:t>台（套）；单位价值</w:t>
      </w:r>
      <w:r>
        <w:rPr>
          <w:rFonts w:ascii="宋体" w:hAnsi="宋体" w:eastAsia="宋体"/>
          <w:sz w:val="32"/>
          <w:szCs w:val="32"/>
        </w:rPr>
        <w:t>100</w:t>
      </w:r>
      <w:r>
        <w:rPr>
          <w:rFonts w:hint="eastAsia" w:ascii="宋体" w:hAnsi="宋体" w:eastAsia="宋体"/>
          <w:sz w:val="32"/>
          <w:szCs w:val="32"/>
        </w:rPr>
        <w:t>万元以上专用设备</w:t>
      </w:r>
      <w:r>
        <w:rPr>
          <w:rFonts w:ascii="宋体" w:hAnsi="宋体" w:eastAsia="宋体"/>
          <w:sz w:val="32"/>
          <w:szCs w:val="32"/>
        </w:rPr>
        <w:t>0</w:t>
      </w:r>
      <w:r>
        <w:rPr>
          <w:rFonts w:hint="eastAsia" w:ascii="宋体" w:hAnsi="宋体" w:eastAsia="宋体"/>
          <w:sz w:val="32"/>
          <w:szCs w:val="32"/>
        </w:rPr>
        <w:t>台（套）。</w:t>
      </w:r>
    </w:p>
    <w:p>
      <w:pPr>
        <w:pStyle w:val="9"/>
        <w:rPr>
          <w:rFonts w:hAnsi="黑体"/>
          <w:b/>
          <w:sz w:val="32"/>
          <w:szCs w:val="32"/>
        </w:rPr>
      </w:pPr>
      <w:r>
        <w:rPr>
          <w:rFonts w:hint="eastAsia" w:hAnsi="黑体"/>
          <w:b/>
          <w:sz w:val="32"/>
          <w:szCs w:val="32"/>
        </w:rPr>
        <w:t>十三、</w:t>
      </w:r>
      <w:r>
        <w:rPr>
          <w:rFonts w:hAnsi="黑体"/>
          <w:b/>
          <w:sz w:val="32"/>
          <w:szCs w:val="32"/>
        </w:rPr>
        <w:t>2021</w:t>
      </w:r>
      <w:r>
        <w:rPr>
          <w:rFonts w:hint="eastAsia" w:hAnsi="黑体"/>
          <w:b/>
          <w:sz w:val="32"/>
          <w:szCs w:val="32"/>
        </w:rPr>
        <w:t>年度预算绩效情况说明</w:t>
      </w:r>
    </w:p>
    <w:p>
      <w:pPr>
        <w:pStyle w:val="9"/>
        <w:ind w:firstLine="640" w:firstLineChars="200"/>
        <w:rPr>
          <w:rFonts w:ascii="宋体" w:hAnsi="宋体" w:eastAsia="宋体"/>
          <w:sz w:val="32"/>
          <w:szCs w:val="32"/>
        </w:rPr>
      </w:pPr>
      <w:r>
        <w:rPr>
          <w:rFonts w:hint="eastAsia" w:ascii="宋体" w:hAnsi="宋体" w:eastAsia="宋体"/>
          <w:sz w:val="32"/>
          <w:szCs w:val="32"/>
        </w:rPr>
        <w:t>已由上级单位汇总公开，本次随部门决算一同公开。</w:t>
      </w:r>
    </w:p>
    <w:p>
      <w:pPr>
        <w:autoSpaceDE w:val="0"/>
        <w:autoSpaceDN w:val="0"/>
        <w:adjustRightInd w:val="0"/>
        <w:ind w:firstLine="640" w:firstLineChars="200"/>
        <w:jc w:val="left"/>
        <w:rPr>
          <w:rFonts w:ascii="宋体" w:cs="黑体"/>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hint="eastAsia" w:ascii="黑体" w:eastAsia="黑体" w:cs="黑体"/>
          <w:color w:val="000000"/>
          <w:kern w:val="0"/>
          <w:sz w:val="70"/>
          <w:szCs w:val="70"/>
        </w:rPr>
      </w:pPr>
    </w:p>
    <w:p>
      <w:pPr>
        <w:widowControl/>
        <w:jc w:val="left"/>
        <w:rPr>
          <w:rFonts w:hint="eastAsia" w:ascii="黑体" w:eastAsia="黑体" w:cs="黑体"/>
          <w:color w:val="000000"/>
          <w:kern w:val="0"/>
          <w:sz w:val="70"/>
          <w:szCs w:val="70"/>
        </w:rPr>
      </w:pPr>
    </w:p>
    <w:p>
      <w:pPr>
        <w:widowControl/>
        <w:jc w:val="left"/>
        <w:rPr>
          <w:rFonts w:hint="eastAsia" w:ascii="黑体" w:eastAsia="黑体" w:cs="黑体"/>
          <w:color w:val="000000"/>
          <w:kern w:val="0"/>
          <w:sz w:val="70"/>
          <w:szCs w:val="70"/>
        </w:rPr>
      </w:pPr>
    </w:p>
    <w:p>
      <w:pPr>
        <w:widowControl/>
        <w:jc w:val="left"/>
        <w:rPr>
          <w:rFonts w:hint="eastAsia" w:ascii="黑体" w:eastAsia="黑体" w:cs="黑体"/>
          <w:color w:val="000000"/>
          <w:kern w:val="0"/>
          <w:sz w:val="70"/>
          <w:szCs w:val="70"/>
        </w:rPr>
      </w:pPr>
    </w:p>
    <w:p>
      <w:pPr>
        <w:widowControl/>
        <w:jc w:val="left"/>
        <w:rPr>
          <w:rFonts w:ascii="黑体" w:eastAsia="黑体" w:cs="黑体"/>
          <w:color w:val="000000"/>
          <w:kern w:val="0"/>
          <w:sz w:val="70"/>
          <w:szCs w:val="70"/>
        </w:rPr>
      </w:pPr>
    </w:p>
    <w:p>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一、基本支出：指为保障机构正常运转、完成日常工作任务而发生的各项支出，包括人员支出和公用支出。</w:t>
      </w:r>
    </w:p>
    <w:p>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二、项目支出：指在基本支出以外为完成相关行政任务和事业发展目标所发生的各项支出。</w:t>
      </w:r>
    </w:p>
    <w:p>
      <w:pPr>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三、“三公”经费：指通过财政拨款资金安排的因公出国（境）费、公务用车购置及运行费和公务接待费支出。</w:t>
      </w:r>
      <w:r>
        <w:rPr>
          <w:rFonts w:ascii="宋体" w:cs="黑体"/>
          <w:color w:val="000000"/>
          <w:kern w:val="0"/>
          <w:sz w:val="32"/>
          <w:szCs w:val="32"/>
        </w:rPr>
        <w:br w:type="textWrapping"/>
      </w:r>
      <w:r>
        <w:rPr>
          <w:rFonts w:hint="eastAsia" w:ascii="宋体" w:hAnsi="宋体" w:cs="黑体"/>
          <w:color w:val="000000"/>
          <w:kern w:val="0"/>
          <w:sz w:val="32"/>
          <w:szCs w:val="32"/>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pStyle w:val="9"/>
        <w:spacing w:line="560" w:lineRule="exact"/>
        <w:ind w:firstLine="640" w:firstLineChars="200"/>
        <w:rPr>
          <w:rFonts w:hint="eastAsia" w:ascii="宋体" w:hAnsi="宋体" w:eastAsia="宋体"/>
          <w:sz w:val="32"/>
          <w:szCs w:val="32"/>
        </w:rPr>
      </w:pPr>
      <w:r>
        <w:rPr>
          <w:rFonts w:hint="eastAsia" w:ascii="宋体" w:hAnsi="宋体" w:eastAsia="宋体"/>
          <w:sz w:val="32"/>
          <w:szCs w:val="32"/>
        </w:rPr>
        <w:t>四、</w:t>
      </w:r>
      <w:r>
        <w:rPr>
          <w:rFonts w:ascii="宋体" w:hAnsi="宋体" w:eastAsia="宋体"/>
          <w:sz w:val="32"/>
          <w:szCs w:val="32"/>
        </w:rPr>
        <w:t>其他资源勘探业支出</w:t>
      </w:r>
      <w:r>
        <w:rPr>
          <w:rFonts w:hint="eastAsia" w:ascii="宋体" w:hAnsi="宋体" w:eastAsia="宋体"/>
          <w:sz w:val="32"/>
          <w:szCs w:val="32"/>
        </w:rPr>
        <w:t>：是指除了煤炭勘探开采和洗选方面、石油和天然气勘探开采、黑色和有色金属矿勘探和采选、非金属矿勘探和采选方面的支出。</w:t>
      </w:r>
    </w:p>
    <w:p>
      <w:pPr>
        <w:pStyle w:val="9"/>
        <w:spacing w:line="560" w:lineRule="exact"/>
        <w:ind w:firstLine="640" w:firstLineChars="200"/>
        <w:rPr>
          <w:rFonts w:ascii="宋体" w:hAnsi="宋体" w:eastAsia="宋体"/>
          <w:sz w:val="32"/>
          <w:szCs w:val="32"/>
        </w:rPr>
      </w:pPr>
      <w:r>
        <w:rPr>
          <w:rFonts w:ascii="宋体" w:hAnsi="宋体" w:eastAsia="宋体"/>
          <w:sz w:val="32"/>
          <w:szCs w:val="32"/>
        </w:rPr>
        <w:t xml:space="preserve"> </w:t>
      </w:r>
      <w:r>
        <w:rPr>
          <w:rFonts w:hint="eastAsia" w:ascii="宋体" w:hAnsi="宋体" w:eastAsia="宋体"/>
          <w:sz w:val="32"/>
          <w:szCs w:val="32"/>
        </w:rPr>
        <w:t>五、</w:t>
      </w:r>
      <w:r>
        <w:rPr>
          <w:rFonts w:ascii="宋体" w:hAnsi="宋体" w:eastAsia="宋体"/>
          <w:sz w:val="32"/>
          <w:szCs w:val="32"/>
        </w:rPr>
        <w:t>自然资源利用与保护</w:t>
      </w:r>
      <w:r>
        <w:rPr>
          <w:rFonts w:hint="eastAsia" w:ascii="宋体" w:hAnsi="宋体" w:eastAsia="宋体"/>
          <w:sz w:val="32"/>
          <w:szCs w:val="32"/>
        </w:rPr>
        <w:t>：是指反映用于自然资源有偿使用与合理开发利用，国土空间生态修复，国土整治，耕地保护等方面支出。</w:t>
      </w:r>
    </w:p>
    <w:p>
      <w:pPr>
        <w:pStyle w:val="9"/>
        <w:ind w:firstLine="480" w:firstLineChars="150"/>
        <w:rPr>
          <w:rFonts w:hint="eastAsia" w:ascii="宋体" w:hAnsi="宋体" w:eastAsia="宋体"/>
          <w:sz w:val="32"/>
          <w:szCs w:val="32"/>
        </w:rPr>
      </w:pPr>
      <w:r>
        <w:rPr>
          <w:rFonts w:hint="eastAsia" w:ascii="宋体" w:hAnsi="宋体" w:eastAsia="宋体"/>
          <w:sz w:val="32"/>
          <w:szCs w:val="32"/>
        </w:rPr>
        <w:t>六、</w:t>
      </w:r>
      <w:r>
        <w:rPr>
          <w:rFonts w:ascii="宋体" w:hAnsi="宋体" w:eastAsia="宋体"/>
          <w:sz w:val="32"/>
          <w:szCs w:val="32"/>
        </w:rPr>
        <w:t>自然资源调查与确权登记</w:t>
      </w:r>
      <w:r>
        <w:rPr>
          <w:rFonts w:hint="eastAsia" w:ascii="宋体" w:hAnsi="宋体" w:eastAsia="宋体"/>
          <w:sz w:val="32"/>
          <w:szCs w:val="32"/>
        </w:rPr>
        <w:t>：是指反映自然资源部门用于自然资源调查监测评价，自然资源统一确权登记等方面支出。</w:t>
      </w:r>
    </w:p>
    <w:p>
      <w:pPr>
        <w:pStyle w:val="9"/>
        <w:ind w:firstLine="640" w:firstLineChars="200"/>
        <w:rPr>
          <w:rFonts w:ascii="宋体" w:hAnsi="宋体" w:eastAsia="宋体"/>
          <w:sz w:val="32"/>
          <w:szCs w:val="32"/>
        </w:rPr>
      </w:pPr>
      <w:r>
        <w:rPr>
          <w:rFonts w:hint="eastAsia" w:ascii="宋体" w:hAnsi="宋体" w:eastAsia="宋体"/>
          <w:sz w:val="32"/>
          <w:szCs w:val="32"/>
        </w:rPr>
        <w:t>七、</w:t>
      </w:r>
      <w:r>
        <w:rPr>
          <w:rFonts w:ascii="宋体" w:hAnsi="宋体" w:eastAsia="宋体"/>
          <w:sz w:val="32"/>
          <w:szCs w:val="32"/>
        </w:rPr>
        <w:t>地质矿产资源与环境调查</w:t>
      </w:r>
      <w:r>
        <w:rPr>
          <w:rFonts w:hint="eastAsia" w:ascii="宋体" w:hAnsi="宋体" w:eastAsia="宋体"/>
          <w:sz w:val="32"/>
          <w:szCs w:val="32"/>
        </w:rPr>
        <w:t>：是指反映用于中国地质调查局开展陆域海域公益性基础地质调查、重要能源资源矿产调查；服务国民经济和生态文明建设，开展重要经济区和城市群综合地质调查、地质灾害隐患和水文地质环境调查；服务一带一路、军民融合等国家重大战略，开展相关地质调查工作；以及加强地质资源环境信息化建设，提高地质调查能力和科技水平等相关支出。</w:t>
      </w:r>
    </w:p>
    <w:p>
      <w:pPr>
        <w:ind w:firstLine="640" w:firstLineChars="200"/>
        <w:jc w:val="left"/>
        <w:rPr>
          <w:rFonts w:ascii="宋体" w:cs="黑体"/>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bookmarkStart w:id="0" w:name="_GoBack"/>
      <w:bookmarkEnd w:id="0"/>
    </w:p>
    <w:p>
      <w:pPr>
        <w:pStyle w:val="9"/>
        <w:jc w:val="center"/>
        <w:rPr>
          <w:sz w:val="72"/>
          <w:szCs w:val="72"/>
        </w:rPr>
      </w:pPr>
    </w:p>
    <w:p>
      <w:pPr>
        <w:pStyle w:val="9"/>
        <w:jc w:val="center"/>
        <w:rPr>
          <w:sz w:val="72"/>
          <w:szCs w:val="72"/>
        </w:rPr>
      </w:pPr>
    </w:p>
    <w:p>
      <w:pPr>
        <w:pStyle w:val="9"/>
        <w:ind w:firstLine="3960" w:firstLineChars="550"/>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ind w:firstLine="2450" w:firstLineChars="350"/>
        <w:jc w:val="left"/>
        <w:rPr>
          <w:rFonts w:ascii="黑体" w:eastAsia="黑体" w:cs="黑体"/>
          <w:color w:val="000000"/>
          <w:kern w:val="0"/>
          <w:sz w:val="70"/>
          <w:szCs w:val="70"/>
        </w:rPr>
      </w:pPr>
      <w:r>
        <w:rPr>
          <w:rFonts w:ascii="黑体" w:eastAsia="黑体" w:cs="黑体"/>
          <w:color w:val="000000"/>
          <w:kern w:val="0"/>
          <w:sz w:val="70"/>
          <w:szCs w:val="70"/>
        </w:rPr>
        <w:br w:type="page"/>
      </w:r>
      <w:r>
        <w:rPr>
          <w:rFonts w:ascii="宋体" w:hAnsi="宋体" w:cs="黑体"/>
          <w:b/>
          <w:color w:val="000000"/>
          <w:kern w:val="0"/>
          <w:sz w:val="32"/>
          <w:szCs w:val="32"/>
        </w:rPr>
        <w:t>2021</w:t>
      </w:r>
      <w:r>
        <w:rPr>
          <w:rFonts w:hint="eastAsia" w:ascii="宋体" w:hAnsi="宋体" w:cs="黑体"/>
          <w:b/>
          <w:color w:val="000000"/>
          <w:kern w:val="0"/>
          <w:sz w:val="32"/>
          <w:szCs w:val="32"/>
        </w:rPr>
        <w:t>年度部门整体支出绩效评价报告</w:t>
      </w:r>
    </w:p>
    <w:p>
      <w:pPr>
        <w:numPr>
          <w:ilvl w:val="0"/>
          <w:numId w:val="2"/>
        </w:numPr>
        <w:ind w:firstLine="640" w:firstLineChars="200"/>
        <w:rPr>
          <w:rFonts w:ascii="黑体" w:eastAsia="黑体"/>
          <w:sz w:val="32"/>
          <w:szCs w:val="32"/>
        </w:rPr>
      </w:pPr>
      <w:r>
        <w:rPr>
          <w:rFonts w:hint="eastAsia" w:ascii="黑体" w:eastAsia="黑体"/>
          <w:sz w:val="32"/>
          <w:szCs w:val="32"/>
        </w:rPr>
        <w:t>单位基本情况</w:t>
      </w:r>
    </w:p>
    <w:p>
      <w:pPr>
        <w:ind w:firstLine="567"/>
        <w:rPr>
          <w:rFonts w:ascii="宋体"/>
          <w:sz w:val="32"/>
          <w:szCs w:val="32"/>
        </w:rPr>
      </w:pPr>
      <w:r>
        <w:rPr>
          <w:rFonts w:hint="eastAsia" w:ascii="宋体" w:hAnsi="宋体" w:cs="仿宋"/>
          <w:sz w:val="32"/>
          <w:szCs w:val="32"/>
        </w:rPr>
        <w:t>本单位为湖南省地质院所属二级</w:t>
      </w:r>
      <w:r>
        <w:rPr>
          <w:rFonts w:hint="eastAsia" w:ascii="宋体" w:hAnsi="宋体" w:cs="仿宋"/>
          <w:spacing w:val="14"/>
          <w:sz w:val="32"/>
          <w:szCs w:val="32"/>
        </w:rPr>
        <w:t>预算单位，单位性质</w:t>
      </w:r>
      <w:r>
        <w:rPr>
          <w:rFonts w:hint="eastAsia" w:ascii="宋体" w:hAnsi="宋体" w:cs="仿宋"/>
          <w:sz w:val="32"/>
          <w:szCs w:val="32"/>
        </w:rPr>
        <w:t>为财政补助事业单位，按照政府会计制度填报数据。本单位负责为国家建设提供专业地质调查服务，放射性地质勘查，地下水资源调查，区域工程地质调查，环境工程地质调查，地质灾害防治工程设计与监理，建筑基桩工程施工，地质测绘与工程测量，岩石矿物及水质分析鉴定。</w:t>
      </w:r>
      <w:r>
        <w:rPr>
          <w:rFonts w:hint="eastAsia" w:ascii="宋体" w:hAnsi="宋体"/>
          <w:sz w:val="32"/>
          <w:szCs w:val="32"/>
        </w:rPr>
        <w:t>本单位</w:t>
      </w:r>
      <w:r>
        <w:rPr>
          <w:rFonts w:ascii="宋体" w:hAnsi="宋体"/>
          <w:sz w:val="32"/>
          <w:szCs w:val="32"/>
        </w:rPr>
        <w:t>2021</w:t>
      </w:r>
      <w:r>
        <w:rPr>
          <w:rFonts w:hint="eastAsia" w:ascii="宋体" w:hAnsi="宋体"/>
          <w:sz w:val="32"/>
          <w:szCs w:val="32"/>
        </w:rPr>
        <w:t>年年末实有编制内在职人员</w:t>
      </w:r>
      <w:r>
        <w:rPr>
          <w:rFonts w:ascii="宋体" w:hAnsi="宋体"/>
          <w:sz w:val="32"/>
          <w:szCs w:val="32"/>
        </w:rPr>
        <w:t>322</w:t>
      </w:r>
      <w:r>
        <w:rPr>
          <w:rFonts w:hint="eastAsia" w:ascii="宋体" w:hAnsi="宋体"/>
          <w:sz w:val="32"/>
          <w:szCs w:val="32"/>
        </w:rPr>
        <w:t>人，编制数</w:t>
      </w:r>
      <w:r>
        <w:rPr>
          <w:rFonts w:ascii="宋体" w:hAnsi="宋体"/>
          <w:sz w:val="32"/>
          <w:szCs w:val="32"/>
        </w:rPr>
        <w:t>380</w:t>
      </w:r>
      <w:r>
        <w:rPr>
          <w:rFonts w:hint="eastAsia" w:ascii="宋体" w:hAnsi="宋体"/>
          <w:sz w:val="32"/>
          <w:szCs w:val="32"/>
        </w:rPr>
        <w:t>人，在职人员控制率为</w:t>
      </w:r>
      <w:r>
        <w:rPr>
          <w:rFonts w:ascii="宋体" w:hAnsi="宋体"/>
          <w:sz w:val="32"/>
          <w:szCs w:val="32"/>
        </w:rPr>
        <w:t>85%</w:t>
      </w:r>
      <w:r>
        <w:rPr>
          <w:rFonts w:hint="eastAsia" w:ascii="宋体" w:hAnsi="宋体"/>
          <w:sz w:val="32"/>
          <w:szCs w:val="32"/>
        </w:rPr>
        <w:t>。下辖五个公司：核工业湖南衡阳华安建设工程有限公司，核工业衡阳第二地质工程勘察有限公司，衡阳湘核置业有限责任公司，湖南湘核鼎融投资咨询有限公司；分别从事工程、工勘测绘、房地产业务、咨询服务业务。</w:t>
      </w:r>
    </w:p>
    <w:p>
      <w:pPr>
        <w:ind w:firstLine="960" w:firstLineChars="300"/>
        <w:rPr>
          <w:rFonts w:ascii="Times New Roman" w:eastAsia="黑体"/>
          <w:sz w:val="32"/>
          <w:szCs w:val="32"/>
        </w:rPr>
      </w:pPr>
      <w:r>
        <w:rPr>
          <w:rFonts w:hint="eastAsia" w:ascii="黑体" w:eastAsia="黑体"/>
          <w:sz w:val="32"/>
          <w:szCs w:val="32"/>
        </w:rPr>
        <w:t>二、一般公共预算支出情况</w:t>
      </w:r>
    </w:p>
    <w:p>
      <w:pPr>
        <w:widowControl/>
        <w:spacing w:line="600" w:lineRule="exact"/>
        <w:ind w:firstLine="627" w:firstLineChars="196"/>
        <w:rPr>
          <w:rFonts w:ascii="楷体_GB2312" w:eastAsia="楷体_GB2312"/>
          <w:b/>
          <w:bCs/>
          <w:sz w:val="32"/>
          <w:szCs w:val="32"/>
        </w:rPr>
      </w:pPr>
      <w:r>
        <w:rPr>
          <w:rFonts w:hint="eastAsia" w:ascii="楷体_GB2312" w:eastAsia="楷体_GB2312"/>
          <w:b/>
          <w:bCs/>
          <w:sz w:val="32"/>
          <w:szCs w:val="32"/>
        </w:rPr>
        <w:t>（一）基本支出情况</w:t>
      </w:r>
    </w:p>
    <w:p>
      <w:pPr>
        <w:ind w:firstLine="576" w:firstLineChars="180"/>
        <w:rPr>
          <w:rFonts w:ascii="宋体"/>
          <w:sz w:val="32"/>
          <w:szCs w:val="32"/>
        </w:rPr>
      </w:pPr>
      <w:r>
        <w:rPr>
          <w:rFonts w:ascii="宋体" w:hAnsi="宋体"/>
          <w:sz w:val="32"/>
          <w:szCs w:val="32"/>
        </w:rPr>
        <w:t>2021</w:t>
      </w:r>
      <w:r>
        <w:rPr>
          <w:rFonts w:hint="eastAsia" w:ascii="宋体" w:hAnsi="宋体"/>
          <w:sz w:val="32"/>
          <w:szCs w:val="32"/>
        </w:rPr>
        <w:t>年度部门支出总额</w:t>
      </w:r>
      <w:r>
        <w:rPr>
          <w:rFonts w:ascii="宋体" w:hAnsi="宋体"/>
          <w:sz w:val="32"/>
          <w:szCs w:val="32"/>
        </w:rPr>
        <w:t>3728.1</w:t>
      </w:r>
      <w:r>
        <w:rPr>
          <w:rFonts w:hint="eastAsia" w:ascii="宋体" w:hAnsi="宋体"/>
          <w:sz w:val="32"/>
          <w:szCs w:val="32"/>
        </w:rPr>
        <w:t>万元，其中：基本支出</w:t>
      </w:r>
      <w:r>
        <w:rPr>
          <w:rFonts w:ascii="宋体" w:hAnsi="宋体"/>
          <w:sz w:val="32"/>
          <w:szCs w:val="32"/>
        </w:rPr>
        <w:t>3604.16</w:t>
      </w:r>
      <w:r>
        <w:rPr>
          <w:rFonts w:hint="eastAsia" w:ascii="宋体" w:hAnsi="宋体"/>
          <w:sz w:val="32"/>
          <w:szCs w:val="32"/>
        </w:rPr>
        <w:t>万元，具体基本支出项目如下：</w:t>
      </w:r>
    </w:p>
    <w:p>
      <w:pPr>
        <w:ind w:firstLine="576" w:firstLineChars="180"/>
        <w:rPr>
          <w:rFonts w:ascii="宋体"/>
          <w:sz w:val="32"/>
          <w:szCs w:val="32"/>
        </w:rPr>
      </w:pPr>
      <w:r>
        <w:rPr>
          <w:rFonts w:hint="eastAsia" w:ascii="宋体" w:hAnsi="宋体"/>
          <w:sz w:val="32"/>
          <w:szCs w:val="32"/>
        </w:rPr>
        <w:t>（</w:t>
      </w:r>
      <w:r>
        <w:rPr>
          <w:rFonts w:ascii="宋体" w:hAnsi="宋体"/>
          <w:sz w:val="32"/>
          <w:szCs w:val="32"/>
        </w:rPr>
        <w:t>1</w:t>
      </w:r>
      <w:r>
        <w:rPr>
          <w:rFonts w:hint="eastAsia" w:ascii="宋体" w:hAnsi="宋体"/>
          <w:sz w:val="32"/>
          <w:szCs w:val="32"/>
        </w:rPr>
        <w:t>）工资福利支出</w:t>
      </w:r>
      <w:r>
        <w:rPr>
          <w:rFonts w:ascii="宋体" w:hAnsi="宋体"/>
          <w:sz w:val="32"/>
          <w:szCs w:val="32"/>
        </w:rPr>
        <w:t>2815.21</w:t>
      </w:r>
      <w:r>
        <w:rPr>
          <w:rFonts w:hint="eastAsia" w:ascii="宋体" w:hAnsi="宋体"/>
          <w:sz w:val="32"/>
          <w:szCs w:val="32"/>
        </w:rPr>
        <w:t>万元，包括：基本工资</w:t>
      </w:r>
      <w:r>
        <w:rPr>
          <w:rFonts w:ascii="宋体" w:hAnsi="宋体"/>
          <w:sz w:val="32"/>
          <w:szCs w:val="32"/>
        </w:rPr>
        <w:t>1418.71</w:t>
      </w:r>
      <w:r>
        <w:rPr>
          <w:rFonts w:hint="eastAsia" w:ascii="宋体" w:hAnsi="宋体"/>
          <w:sz w:val="32"/>
          <w:szCs w:val="32"/>
        </w:rPr>
        <w:t>万元，津贴补贴</w:t>
      </w:r>
      <w:r>
        <w:rPr>
          <w:rFonts w:ascii="宋体" w:hAnsi="宋体"/>
          <w:sz w:val="32"/>
          <w:szCs w:val="32"/>
        </w:rPr>
        <w:t>197.97</w:t>
      </w:r>
      <w:r>
        <w:rPr>
          <w:rFonts w:hint="eastAsia" w:ascii="宋体" w:hAnsi="宋体"/>
          <w:sz w:val="32"/>
          <w:szCs w:val="32"/>
        </w:rPr>
        <w:t>万元，绩效工资</w:t>
      </w:r>
      <w:r>
        <w:rPr>
          <w:rFonts w:ascii="宋体" w:hAnsi="宋体"/>
          <w:sz w:val="32"/>
          <w:szCs w:val="32"/>
        </w:rPr>
        <w:t>487.29</w:t>
      </w:r>
      <w:r>
        <w:rPr>
          <w:rFonts w:hint="eastAsia" w:ascii="宋体" w:hAnsi="宋体"/>
          <w:sz w:val="32"/>
          <w:szCs w:val="32"/>
        </w:rPr>
        <w:t>万元，机关事业单位基本养老保险费</w:t>
      </w:r>
      <w:r>
        <w:rPr>
          <w:rFonts w:ascii="宋体" w:hAnsi="宋体"/>
          <w:sz w:val="32"/>
          <w:szCs w:val="32"/>
        </w:rPr>
        <w:t>338.59</w:t>
      </w:r>
      <w:r>
        <w:rPr>
          <w:rFonts w:hint="eastAsia" w:ascii="宋体" w:hAnsi="宋体"/>
          <w:sz w:val="32"/>
          <w:szCs w:val="32"/>
        </w:rPr>
        <w:t>万元，职工基本医疗保险缴费</w:t>
      </w:r>
      <w:r>
        <w:rPr>
          <w:rFonts w:ascii="宋体" w:hAnsi="宋体"/>
          <w:sz w:val="32"/>
          <w:szCs w:val="32"/>
        </w:rPr>
        <w:t>163.17</w:t>
      </w:r>
      <w:r>
        <w:rPr>
          <w:rFonts w:hint="eastAsia" w:ascii="宋体" w:hAnsi="宋体"/>
          <w:sz w:val="32"/>
          <w:szCs w:val="32"/>
        </w:rPr>
        <w:t>万元，其他社会保障缴费</w:t>
      </w:r>
      <w:r>
        <w:rPr>
          <w:rFonts w:ascii="宋体" w:hAnsi="宋体"/>
          <w:sz w:val="32"/>
          <w:szCs w:val="32"/>
        </w:rPr>
        <w:t>26.52</w:t>
      </w:r>
      <w:r>
        <w:rPr>
          <w:rFonts w:hint="eastAsia" w:ascii="宋体" w:hAnsi="宋体"/>
          <w:sz w:val="32"/>
          <w:szCs w:val="32"/>
        </w:rPr>
        <w:t>万元，住房公积金</w:t>
      </w:r>
      <w:r>
        <w:rPr>
          <w:rFonts w:ascii="宋体" w:hAnsi="宋体"/>
          <w:sz w:val="32"/>
          <w:szCs w:val="32"/>
        </w:rPr>
        <w:t>182.96</w:t>
      </w:r>
      <w:r>
        <w:rPr>
          <w:rFonts w:hint="eastAsia" w:ascii="宋体" w:hAnsi="宋体"/>
          <w:sz w:val="32"/>
          <w:szCs w:val="32"/>
        </w:rPr>
        <w:t>万元。</w:t>
      </w:r>
    </w:p>
    <w:p>
      <w:pPr>
        <w:ind w:firstLine="576" w:firstLineChars="180"/>
        <w:rPr>
          <w:rFonts w:ascii="宋体"/>
          <w:sz w:val="32"/>
          <w:szCs w:val="32"/>
        </w:rPr>
      </w:pPr>
      <w:r>
        <w:rPr>
          <w:rFonts w:hint="eastAsia" w:ascii="宋体" w:hAnsi="宋体"/>
          <w:sz w:val="32"/>
          <w:szCs w:val="32"/>
        </w:rPr>
        <w:t>（</w:t>
      </w:r>
      <w:r>
        <w:rPr>
          <w:rFonts w:ascii="宋体" w:hAnsi="宋体"/>
          <w:sz w:val="32"/>
          <w:szCs w:val="32"/>
        </w:rPr>
        <w:t>2</w:t>
      </w:r>
      <w:r>
        <w:rPr>
          <w:rFonts w:hint="eastAsia" w:ascii="宋体" w:hAnsi="宋体"/>
          <w:sz w:val="32"/>
          <w:szCs w:val="32"/>
        </w:rPr>
        <w:t>）商品服务支出</w:t>
      </w:r>
      <w:r>
        <w:rPr>
          <w:rFonts w:ascii="宋体" w:hAnsi="宋体"/>
          <w:sz w:val="32"/>
          <w:szCs w:val="32"/>
        </w:rPr>
        <w:t>566.75</w:t>
      </w:r>
      <w:r>
        <w:rPr>
          <w:rFonts w:hint="eastAsia" w:ascii="宋体" w:hAnsi="宋体"/>
          <w:sz w:val="32"/>
          <w:szCs w:val="32"/>
        </w:rPr>
        <w:t>万元，包括：办公费</w:t>
      </w:r>
      <w:r>
        <w:rPr>
          <w:rFonts w:ascii="宋体" w:hAnsi="宋体"/>
          <w:sz w:val="32"/>
          <w:szCs w:val="32"/>
        </w:rPr>
        <w:t>34</w:t>
      </w:r>
      <w:r>
        <w:rPr>
          <w:rFonts w:hint="eastAsia" w:ascii="宋体" w:hAnsi="宋体"/>
          <w:sz w:val="32"/>
          <w:szCs w:val="32"/>
        </w:rPr>
        <w:t>万元，印刷费</w:t>
      </w:r>
      <w:r>
        <w:rPr>
          <w:rFonts w:ascii="宋体" w:hAnsi="宋体"/>
          <w:sz w:val="32"/>
          <w:szCs w:val="32"/>
        </w:rPr>
        <w:t>4.08</w:t>
      </w:r>
      <w:r>
        <w:rPr>
          <w:rFonts w:hint="eastAsia" w:ascii="宋体" w:hAnsi="宋体"/>
          <w:sz w:val="32"/>
          <w:szCs w:val="32"/>
        </w:rPr>
        <w:t>万元，水费</w:t>
      </w:r>
      <w:r>
        <w:rPr>
          <w:rFonts w:ascii="宋体" w:hAnsi="宋体"/>
          <w:sz w:val="32"/>
          <w:szCs w:val="32"/>
        </w:rPr>
        <w:t>1.12</w:t>
      </w:r>
      <w:r>
        <w:rPr>
          <w:rFonts w:hint="eastAsia" w:ascii="宋体" w:hAnsi="宋体"/>
          <w:sz w:val="32"/>
          <w:szCs w:val="32"/>
        </w:rPr>
        <w:t>万元，电费</w:t>
      </w:r>
      <w:r>
        <w:rPr>
          <w:rFonts w:ascii="宋体" w:hAnsi="宋体"/>
          <w:sz w:val="32"/>
          <w:szCs w:val="32"/>
        </w:rPr>
        <w:t>24.24</w:t>
      </w:r>
      <w:r>
        <w:rPr>
          <w:rFonts w:hint="eastAsia" w:ascii="宋体" w:hAnsi="宋体"/>
          <w:sz w:val="32"/>
          <w:szCs w:val="32"/>
        </w:rPr>
        <w:t>万元，邮电费</w:t>
      </w:r>
      <w:r>
        <w:rPr>
          <w:rFonts w:ascii="宋体" w:hAnsi="宋体"/>
          <w:sz w:val="32"/>
          <w:szCs w:val="32"/>
        </w:rPr>
        <w:t>3.38</w:t>
      </w:r>
      <w:r>
        <w:rPr>
          <w:rFonts w:hint="eastAsia" w:ascii="宋体" w:hAnsi="宋体"/>
          <w:sz w:val="32"/>
          <w:szCs w:val="32"/>
        </w:rPr>
        <w:t>万元，物业管理费</w:t>
      </w:r>
      <w:r>
        <w:rPr>
          <w:rFonts w:ascii="宋体" w:hAnsi="宋体"/>
          <w:sz w:val="32"/>
          <w:szCs w:val="32"/>
        </w:rPr>
        <w:t>8</w:t>
      </w:r>
      <w:r>
        <w:rPr>
          <w:rFonts w:hint="eastAsia" w:ascii="宋体" w:hAnsi="宋体"/>
          <w:sz w:val="32"/>
          <w:szCs w:val="32"/>
        </w:rPr>
        <w:t>万元，差旅费</w:t>
      </w:r>
      <w:r>
        <w:rPr>
          <w:rFonts w:ascii="宋体" w:hAnsi="宋体"/>
          <w:sz w:val="32"/>
          <w:szCs w:val="32"/>
        </w:rPr>
        <w:t>52.74</w:t>
      </w:r>
      <w:r>
        <w:rPr>
          <w:rFonts w:hint="eastAsia" w:ascii="宋体" w:hAnsi="宋体"/>
          <w:sz w:val="32"/>
          <w:szCs w:val="32"/>
        </w:rPr>
        <w:t>万元，维修费</w:t>
      </w:r>
      <w:r>
        <w:rPr>
          <w:rFonts w:ascii="宋体" w:hAnsi="宋体"/>
          <w:sz w:val="32"/>
          <w:szCs w:val="32"/>
        </w:rPr>
        <w:t>8.6</w:t>
      </w:r>
      <w:r>
        <w:rPr>
          <w:rFonts w:hint="eastAsia" w:ascii="宋体" w:hAnsi="宋体"/>
          <w:sz w:val="32"/>
          <w:szCs w:val="32"/>
        </w:rPr>
        <w:t>万元，培训费</w:t>
      </w:r>
      <w:r>
        <w:rPr>
          <w:rFonts w:ascii="宋体" w:hAnsi="宋体"/>
          <w:sz w:val="32"/>
          <w:szCs w:val="32"/>
        </w:rPr>
        <w:t>8</w:t>
      </w:r>
      <w:r>
        <w:rPr>
          <w:rFonts w:hint="eastAsia" w:ascii="宋体" w:hAnsi="宋体"/>
          <w:sz w:val="32"/>
          <w:szCs w:val="32"/>
        </w:rPr>
        <w:t>万元，公务接待费</w:t>
      </w:r>
      <w:r>
        <w:rPr>
          <w:rFonts w:ascii="宋体" w:hAnsi="宋体"/>
          <w:sz w:val="32"/>
          <w:szCs w:val="32"/>
        </w:rPr>
        <w:t>2</w:t>
      </w:r>
      <w:r>
        <w:rPr>
          <w:rFonts w:hint="eastAsia" w:ascii="宋体" w:hAnsi="宋体"/>
          <w:sz w:val="32"/>
          <w:szCs w:val="32"/>
        </w:rPr>
        <w:t>万元，劳务费</w:t>
      </w:r>
      <w:r>
        <w:rPr>
          <w:rFonts w:ascii="宋体" w:hAnsi="宋体"/>
          <w:sz w:val="32"/>
          <w:szCs w:val="32"/>
        </w:rPr>
        <w:t>32.73</w:t>
      </w:r>
      <w:r>
        <w:rPr>
          <w:rFonts w:hint="eastAsia" w:ascii="宋体" w:hAnsi="宋体"/>
          <w:sz w:val="32"/>
          <w:szCs w:val="32"/>
        </w:rPr>
        <w:t>万元，工会经费</w:t>
      </w:r>
      <w:r>
        <w:rPr>
          <w:rFonts w:ascii="宋体" w:hAnsi="宋体"/>
          <w:sz w:val="32"/>
          <w:szCs w:val="32"/>
        </w:rPr>
        <w:t>20</w:t>
      </w:r>
      <w:r>
        <w:rPr>
          <w:rFonts w:hint="eastAsia" w:ascii="宋体" w:hAnsi="宋体"/>
          <w:sz w:val="32"/>
          <w:szCs w:val="32"/>
        </w:rPr>
        <w:t>万元，福利费</w:t>
      </w:r>
      <w:r>
        <w:rPr>
          <w:rFonts w:ascii="宋体" w:hAnsi="宋体"/>
          <w:sz w:val="32"/>
          <w:szCs w:val="32"/>
        </w:rPr>
        <w:t>88</w:t>
      </w:r>
      <w:r>
        <w:rPr>
          <w:rFonts w:hint="eastAsia" w:ascii="宋体" w:hAnsi="宋体"/>
          <w:sz w:val="32"/>
          <w:szCs w:val="32"/>
        </w:rPr>
        <w:t>万元，公务用车运行维护费</w:t>
      </w:r>
      <w:r>
        <w:rPr>
          <w:rFonts w:ascii="宋体" w:hAnsi="宋体"/>
          <w:sz w:val="32"/>
          <w:szCs w:val="32"/>
        </w:rPr>
        <w:t>13.5</w:t>
      </w:r>
      <w:r>
        <w:rPr>
          <w:rFonts w:hint="eastAsia" w:ascii="宋体" w:hAnsi="宋体"/>
          <w:sz w:val="32"/>
          <w:szCs w:val="32"/>
        </w:rPr>
        <w:t>万元，其他交通费用</w:t>
      </w:r>
      <w:r>
        <w:rPr>
          <w:rFonts w:ascii="宋体" w:hAnsi="宋体"/>
          <w:sz w:val="32"/>
          <w:szCs w:val="32"/>
        </w:rPr>
        <w:t>5.32</w:t>
      </w:r>
      <w:r>
        <w:rPr>
          <w:rFonts w:hint="eastAsia" w:ascii="宋体" w:hAnsi="宋体"/>
          <w:sz w:val="32"/>
          <w:szCs w:val="32"/>
        </w:rPr>
        <w:t>万元，其他商品服务支出</w:t>
      </w:r>
      <w:r>
        <w:rPr>
          <w:rFonts w:ascii="宋体" w:hAnsi="宋体"/>
          <w:sz w:val="32"/>
          <w:szCs w:val="32"/>
        </w:rPr>
        <w:t>261.04</w:t>
      </w:r>
      <w:r>
        <w:rPr>
          <w:rFonts w:hint="eastAsia" w:ascii="宋体" w:hAnsi="宋体"/>
          <w:sz w:val="32"/>
          <w:szCs w:val="32"/>
        </w:rPr>
        <w:t>万元。</w:t>
      </w:r>
    </w:p>
    <w:p>
      <w:pPr>
        <w:ind w:firstLine="576" w:firstLineChars="180"/>
        <w:rPr>
          <w:rFonts w:ascii="宋体"/>
          <w:sz w:val="32"/>
          <w:szCs w:val="32"/>
        </w:rPr>
      </w:pPr>
      <w:r>
        <w:rPr>
          <w:rFonts w:hint="eastAsia" w:ascii="宋体" w:hAnsi="宋体"/>
          <w:sz w:val="32"/>
          <w:szCs w:val="32"/>
        </w:rPr>
        <w:t>（</w:t>
      </w:r>
      <w:r>
        <w:rPr>
          <w:rFonts w:ascii="宋体" w:hAnsi="宋体"/>
          <w:sz w:val="32"/>
          <w:szCs w:val="32"/>
        </w:rPr>
        <w:t>3</w:t>
      </w:r>
      <w:r>
        <w:rPr>
          <w:rFonts w:hint="eastAsia" w:ascii="宋体" w:hAnsi="宋体"/>
          <w:sz w:val="32"/>
          <w:szCs w:val="32"/>
        </w:rPr>
        <w:t>）对个人和家庭补助支出</w:t>
      </w:r>
      <w:r>
        <w:rPr>
          <w:rFonts w:ascii="宋体" w:hAnsi="宋体"/>
          <w:sz w:val="32"/>
          <w:szCs w:val="32"/>
        </w:rPr>
        <w:t>222.2</w:t>
      </w:r>
      <w:r>
        <w:rPr>
          <w:rFonts w:hint="eastAsia" w:ascii="宋体" w:hAnsi="宋体"/>
          <w:sz w:val="32"/>
          <w:szCs w:val="32"/>
        </w:rPr>
        <w:t>万元，包括：退休费</w:t>
      </w:r>
      <w:r>
        <w:rPr>
          <w:rFonts w:ascii="宋体" w:hAnsi="宋体"/>
          <w:sz w:val="32"/>
          <w:szCs w:val="32"/>
        </w:rPr>
        <w:t>126.37</w:t>
      </w:r>
      <w:r>
        <w:rPr>
          <w:rFonts w:hint="eastAsia" w:ascii="宋体" w:hAnsi="宋体"/>
          <w:sz w:val="32"/>
          <w:szCs w:val="32"/>
        </w:rPr>
        <w:t>万元，抚恤金</w:t>
      </w:r>
      <w:r>
        <w:rPr>
          <w:rFonts w:ascii="宋体" w:hAnsi="宋体"/>
          <w:sz w:val="32"/>
          <w:szCs w:val="32"/>
        </w:rPr>
        <w:t>29.27</w:t>
      </w:r>
      <w:r>
        <w:rPr>
          <w:rFonts w:hint="eastAsia" w:ascii="宋体" w:hAnsi="宋体"/>
          <w:sz w:val="32"/>
          <w:szCs w:val="32"/>
        </w:rPr>
        <w:t>万元，生活补助</w:t>
      </w:r>
      <w:r>
        <w:rPr>
          <w:rFonts w:ascii="宋体" w:hAnsi="宋体"/>
          <w:sz w:val="32"/>
          <w:szCs w:val="32"/>
        </w:rPr>
        <w:t>45.51</w:t>
      </w:r>
      <w:r>
        <w:rPr>
          <w:rFonts w:hint="eastAsia" w:ascii="宋体" w:hAnsi="宋体"/>
          <w:sz w:val="32"/>
          <w:szCs w:val="32"/>
        </w:rPr>
        <w:t>万元，奖励金</w:t>
      </w:r>
      <w:r>
        <w:rPr>
          <w:rFonts w:ascii="宋体" w:hAnsi="宋体"/>
          <w:sz w:val="32"/>
          <w:szCs w:val="32"/>
        </w:rPr>
        <w:t>17.79</w:t>
      </w:r>
      <w:r>
        <w:rPr>
          <w:rFonts w:hint="eastAsia" w:ascii="宋体" w:hAnsi="宋体"/>
          <w:sz w:val="32"/>
          <w:szCs w:val="32"/>
        </w:rPr>
        <w:t>万元，其他对个人和家庭补助支出</w:t>
      </w:r>
      <w:r>
        <w:rPr>
          <w:rFonts w:ascii="宋体" w:hAnsi="宋体"/>
          <w:sz w:val="32"/>
          <w:szCs w:val="32"/>
        </w:rPr>
        <w:t>3.26</w:t>
      </w:r>
      <w:r>
        <w:rPr>
          <w:rFonts w:hint="eastAsia" w:ascii="宋体" w:hAnsi="宋体"/>
          <w:sz w:val="32"/>
          <w:szCs w:val="32"/>
        </w:rPr>
        <w:t>万元。</w:t>
      </w:r>
    </w:p>
    <w:p>
      <w:pPr>
        <w:widowControl/>
        <w:spacing w:line="600" w:lineRule="exact"/>
        <w:ind w:firstLine="640" w:firstLineChars="200"/>
        <w:rPr>
          <w:rFonts w:ascii="楷体_GB2312" w:eastAsia="楷体_GB2312"/>
          <w:b/>
          <w:bCs/>
          <w:sz w:val="32"/>
          <w:szCs w:val="32"/>
        </w:rPr>
      </w:pPr>
      <w:r>
        <w:rPr>
          <w:rFonts w:hint="eastAsia" w:ascii="楷体_GB2312" w:eastAsia="楷体_GB2312"/>
          <w:b/>
          <w:bCs/>
          <w:sz w:val="32"/>
          <w:szCs w:val="32"/>
        </w:rPr>
        <w:t>（二）项目支出情况</w:t>
      </w:r>
    </w:p>
    <w:p>
      <w:pPr>
        <w:pStyle w:val="12"/>
        <w:widowControl/>
        <w:spacing w:line="600" w:lineRule="exact"/>
        <w:ind w:firstLine="640"/>
        <w:rPr>
          <w:rFonts w:ascii="宋体"/>
          <w:sz w:val="32"/>
          <w:szCs w:val="32"/>
        </w:rPr>
      </w:pPr>
      <w:r>
        <w:rPr>
          <w:rFonts w:ascii="宋体" w:hAnsi="宋体"/>
          <w:sz w:val="32"/>
          <w:szCs w:val="32"/>
        </w:rPr>
        <w:t>2021</w:t>
      </w:r>
      <w:r>
        <w:rPr>
          <w:rFonts w:hint="eastAsia" w:ascii="宋体" w:hAnsi="宋体"/>
          <w:sz w:val="32"/>
          <w:szCs w:val="32"/>
        </w:rPr>
        <w:t>年项目支出</w:t>
      </w:r>
      <w:r>
        <w:rPr>
          <w:rFonts w:ascii="宋体" w:hAnsi="宋体"/>
          <w:sz w:val="32"/>
          <w:szCs w:val="32"/>
        </w:rPr>
        <w:t>123.94</w:t>
      </w:r>
      <w:r>
        <w:rPr>
          <w:rFonts w:hint="eastAsia" w:ascii="宋体" w:hAnsi="宋体"/>
          <w:sz w:val="32"/>
          <w:szCs w:val="32"/>
        </w:rPr>
        <w:t>万元，重点研发项目支出</w:t>
      </w:r>
      <w:r>
        <w:rPr>
          <w:rFonts w:ascii="宋体" w:hAnsi="宋体"/>
          <w:sz w:val="32"/>
          <w:szCs w:val="32"/>
        </w:rPr>
        <w:t>50</w:t>
      </w:r>
      <w:r>
        <w:rPr>
          <w:rFonts w:hint="eastAsia" w:ascii="宋体" w:hAnsi="宋体"/>
          <w:sz w:val="32"/>
          <w:szCs w:val="32"/>
        </w:rPr>
        <w:t>万元，生态修复项目支出</w:t>
      </w:r>
      <w:r>
        <w:rPr>
          <w:rFonts w:ascii="宋体" w:hAnsi="宋体"/>
          <w:sz w:val="32"/>
          <w:szCs w:val="32"/>
        </w:rPr>
        <w:t>10.68</w:t>
      </w:r>
      <w:r>
        <w:rPr>
          <w:rFonts w:hint="eastAsia" w:ascii="宋体" w:hAnsi="宋体"/>
          <w:sz w:val="32"/>
          <w:szCs w:val="32"/>
        </w:rPr>
        <w:t>万元，国情调查项目支出</w:t>
      </w:r>
      <w:r>
        <w:rPr>
          <w:rFonts w:ascii="宋体" w:hAnsi="宋体"/>
          <w:sz w:val="32"/>
          <w:szCs w:val="32"/>
        </w:rPr>
        <w:t>1.63</w:t>
      </w:r>
      <w:r>
        <w:rPr>
          <w:rFonts w:hint="eastAsia" w:ascii="宋体" w:hAnsi="宋体"/>
          <w:sz w:val="32"/>
          <w:szCs w:val="32"/>
        </w:rPr>
        <w:t>万元，此三个项目为</w:t>
      </w:r>
      <w:r>
        <w:rPr>
          <w:rFonts w:ascii="宋体" w:hAnsi="宋体"/>
          <w:sz w:val="32"/>
          <w:szCs w:val="32"/>
        </w:rPr>
        <w:t>2020</w:t>
      </w:r>
      <w:r>
        <w:rPr>
          <w:rFonts w:hint="eastAsia" w:ascii="宋体" w:hAnsi="宋体"/>
          <w:sz w:val="32"/>
          <w:szCs w:val="32"/>
        </w:rPr>
        <w:t>年结转项目；</w:t>
      </w:r>
      <w:r>
        <w:rPr>
          <w:rFonts w:ascii="宋体" w:hAnsi="宋体"/>
          <w:sz w:val="32"/>
          <w:szCs w:val="32"/>
        </w:rPr>
        <w:t>2021</w:t>
      </w:r>
      <w:r>
        <w:rPr>
          <w:rFonts w:hint="eastAsia" w:ascii="宋体" w:hAnsi="宋体"/>
          <w:sz w:val="32"/>
          <w:szCs w:val="32"/>
        </w:rPr>
        <w:t>年国情调查项目</w:t>
      </w:r>
      <w:r>
        <w:rPr>
          <w:rFonts w:ascii="宋体" w:hAnsi="宋体"/>
          <w:sz w:val="32"/>
          <w:szCs w:val="32"/>
        </w:rPr>
        <w:t>52.24</w:t>
      </w:r>
      <w:r>
        <w:rPr>
          <w:rFonts w:hint="eastAsia" w:ascii="宋体" w:hAnsi="宋体"/>
          <w:sz w:val="32"/>
          <w:szCs w:val="32"/>
        </w:rPr>
        <w:t>万元</w:t>
      </w:r>
      <w:r>
        <w:rPr>
          <w:rFonts w:ascii="宋体"/>
          <w:sz w:val="32"/>
          <w:szCs w:val="32"/>
        </w:rPr>
        <w:t>,</w:t>
      </w:r>
      <w:r>
        <w:rPr>
          <w:rFonts w:hint="eastAsia" w:ascii="宋体" w:hAnsi="宋体"/>
          <w:sz w:val="32"/>
          <w:szCs w:val="32"/>
        </w:rPr>
        <w:t>项目支出</w:t>
      </w:r>
      <w:r>
        <w:rPr>
          <w:rFonts w:ascii="宋体" w:hAnsi="宋体"/>
          <w:sz w:val="32"/>
          <w:szCs w:val="32"/>
        </w:rPr>
        <w:t>43.23</w:t>
      </w:r>
      <w:r>
        <w:rPr>
          <w:rFonts w:hint="eastAsia" w:ascii="宋体" w:hAnsi="宋体"/>
          <w:sz w:val="32"/>
          <w:szCs w:val="32"/>
        </w:rPr>
        <w:t>万元</w:t>
      </w:r>
      <w:r>
        <w:rPr>
          <w:rFonts w:ascii="宋体"/>
          <w:sz w:val="32"/>
          <w:szCs w:val="32"/>
        </w:rPr>
        <w:t>,</w:t>
      </w:r>
      <w:r>
        <w:rPr>
          <w:rFonts w:hint="eastAsia" w:ascii="宋体" w:hAnsi="宋体"/>
          <w:sz w:val="32"/>
          <w:szCs w:val="32"/>
        </w:rPr>
        <w:t>结转资金为</w:t>
      </w:r>
      <w:r>
        <w:rPr>
          <w:rFonts w:ascii="宋体" w:hAnsi="宋体"/>
          <w:sz w:val="32"/>
          <w:szCs w:val="32"/>
        </w:rPr>
        <w:t>9.01</w:t>
      </w:r>
      <w:r>
        <w:rPr>
          <w:rFonts w:hint="eastAsia" w:ascii="宋体" w:hAnsi="宋体"/>
          <w:sz w:val="32"/>
          <w:szCs w:val="32"/>
        </w:rPr>
        <w:t>万元；耒阳地质灾害调查项目</w:t>
      </w:r>
      <w:r>
        <w:rPr>
          <w:rFonts w:ascii="宋体" w:hAnsi="宋体"/>
          <w:sz w:val="32"/>
          <w:szCs w:val="32"/>
        </w:rPr>
        <w:t>100</w:t>
      </w:r>
      <w:r>
        <w:rPr>
          <w:rFonts w:hint="eastAsia" w:ascii="宋体" w:hAnsi="宋体"/>
          <w:sz w:val="32"/>
          <w:szCs w:val="32"/>
        </w:rPr>
        <w:t>万元，项目支出</w:t>
      </w:r>
      <w:r>
        <w:rPr>
          <w:rFonts w:ascii="宋体" w:hAnsi="宋体"/>
          <w:sz w:val="32"/>
          <w:szCs w:val="32"/>
        </w:rPr>
        <w:t>18.4</w:t>
      </w:r>
      <w:r>
        <w:rPr>
          <w:rFonts w:hint="eastAsia" w:ascii="宋体" w:hAnsi="宋体"/>
          <w:sz w:val="32"/>
          <w:szCs w:val="32"/>
        </w:rPr>
        <w:t>万元，结转资金为</w:t>
      </w:r>
      <w:r>
        <w:rPr>
          <w:rFonts w:ascii="宋体" w:hAnsi="宋体"/>
          <w:sz w:val="32"/>
          <w:szCs w:val="32"/>
        </w:rPr>
        <w:t>81.6</w:t>
      </w:r>
      <w:r>
        <w:rPr>
          <w:rFonts w:hint="eastAsia" w:ascii="宋体" w:hAnsi="宋体"/>
          <w:sz w:val="32"/>
          <w:szCs w:val="32"/>
        </w:rPr>
        <w:t>万元。</w:t>
      </w:r>
    </w:p>
    <w:p>
      <w:pPr>
        <w:widowControl/>
        <w:spacing w:line="600" w:lineRule="exact"/>
        <w:ind w:firstLine="640" w:firstLineChars="200"/>
        <w:jc w:val="left"/>
        <w:rPr>
          <w:rFonts w:ascii="黑体" w:eastAsia="黑体"/>
          <w:sz w:val="32"/>
          <w:szCs w:val="32"/>
        </w:rPr>
      </w:pPr>
      <w:r>
        <w:rPr>
          <w:rFonts w:hint="eastAsia" w:ascii="黑体" w:eastAsia="黑体"/>
          <w:sz w:val="32"/>
          <w:szCs w:val="32"/>
        </w:rPr>
        <w:t>三、政府性基金预算支出情况</w:t>
      </w:r>
    </w:p>
    <w:p>
      <w:pPr>
        <w:widowControl/>
        <w:spacing w:line="600" w:lineRule="exact"/>
        <w:ind w:firstLine="640" w:firstLineChars="200"/>
        <w:jc w:val="left"/>
        <w:rPr>
          <w:rFonts w:ascii="宋体"/>
          <w:sz w:val="32"/>
          <w:szCs w:val="32"/>
        </w:rPr>
      </w:pPr>
      <w:r>
        <w:rPr>
          <w:rFonts w:hint="eastAsia" w:ascii="宋体" w:hAnsi="宋体"/>
          <w:sz w:val="32"/>
          <w:szCs w:val="32"/>
        </w:rPr>
        <w:t>本单位无政府性基金预算支出</w:t>
      </w:r>
    </w:p>
    <w:p>
      <w:pPr>
        <w:widowControl/>
        <w:spacing w:line="600" w:lineRule="exact"/>
        <w:ind w:firstLine="640" w:firstLineChars="200"/>
        <w:jc w:val="left"/>
        <w:rPr>
          <w:rFonts w:ascii="Times New Roman" w:hAnsi="Times New Roman" w:eastAsia="黑体"/>
          <w:sz w:val="32"/>
          <w:szCs w:val="32"/>
        </w:rPr>
      </w:pPr>
      <w:r>
        <w:rPr>
          <w:rFonts w:hint="eastAsia" w:ascii="黑体" w:eastAsia="黑体"/>
          <w:sz w:val="32"/>
          <w:szCs w:val="32"/>
        </w:rPr>
        <w:t>四、国有资本经营预算支出情况</w:t>
      </w:r>
    </w:p>
    <w:p>
      <w:pPr>
        <w:widowControl/>
        <w:spacing w:line="600" w:lineRule="exact"/>
        <w:ind w:firstLine="640" w:firstLineChars="200"/>
        <w:jc w:val="left"/>
        <w:rPr>
          <w:rFonts w:ascii="宋体"/>
          <w:sz w:val="32"/>
          <w:szCs w:val="32"/>
        </w:rPr>
      </w:pPr>
      <w:r>
        <w:rPr>
          <w:rFonts w:hint="eastAsia" w:ascii="宋体" w:hAnsi="宋体"/>
          <w:sz w:val="32"/>
          <w:szCs w:val="32"/>
        </w:rPr>
        <w:t>本单位无国有资本经营预算支出</w:t>
      </w:r>
    </w:p>
    <w:p>
      <w:pPr>
        <w:widowControl/>
        <w:spacing w:line="600" w:lineRule="exact"/>
        <w:ind w:firstLine="640" w:firstLineChars="200"/>
        <w:jc w:val="left"/>
        <w:rPr>
          <w:rFonts w:ascii="Times New Roman" w:eastAsia="黑体"/>
          <w:sz w:val="32"/>
          <w:szCs w:val="32"/>
        </w:rPr>
      </w:pPr>
      <w:r>
        <w:rPr>
          <w:rFonts w:hint="eastAsia" w:ascii="黑体" w:eastAsia="黑体"/>
          <w:sz w:val="32"/>
          <w:szCs w:val="32"/>
        </w:rPr>
        <w:t>五、社会保险基金预算支出情况</w:t>
      </w:r>
    </w:p>
    <w:p>
      <w:pPr>
        <w:widowControl/>
        <w:spacing w:line="600" w:lineRule="exact"/>
        <w:ind w:firstLine="640" w:firstLineChars="200"/>
        <w:jc w:val="left"/>
        <w:rPr>
          <w:rFonts w:ascii="宋体"/>
          <w:sz w:val="32"/>
          <w:szCs w:val="32"/>
        </w:rPr>
      </w:pPr>
      <w:r>
        <w:rPr>
          <w:rFonts w:hint="eastAsia" w:ascii="宋体" w:hAnsi="宋体"/>
          <w:sz w:val="32"/>
          <w:szCs w:val="32"/>
        </w:rPr>
        <w:t>本单位无社会保险基金预算支出</w:t>
      </w:r>
    </w:p>
    <w:p>
      <w:pPr>
        <w:widowControl/>
        <w:spacing w:line="600" w:lineRule="exact"/>
        <w:ind w:firstLine="640" w:firstLineChars="200"/>
        <w:jc w:val="left"/>
        <w:rPr>
          <w:rFonts w:ascii="仿宋_GB2312" w:hAnsi="宋体" w:eastAsia="仿宋_GB2312"/>
          <w:color w:val="000000"/>
          <w:sz w:val="32"/>
          <w:szCs w:val="32"/>
          <w:shd w:val="clear" w:color="auto" w:fill="FFFFFF"/>
        </w:rPr>
      </w:pPr>
      <w:r>
        <w:rPr>
          <w:rFonts w:hint="eastAsia" w:ascii="黑体" w:eastAsia="黑体"/>
          <w:sz w:val="32"/>
          <w:szCs w:val="32"/>
        </w:rPr>
        <w:t>六、单位整体支出绩效情况</w:t>
      </w:r>
    </w:p>
    <w:p>
      <w:pPr>
        <w:widowControl/>
        <w:spacing w:line="600" w:lineRule="exact"/>
        <w:ind w:firstLine="640" w:firstLineChars="200"/>
        <w:jc w:val="left"/>
        <w:rPr>
          <w:rFonts w:ascii="宋体"/>
          <w:sz w:val="32"/>
          <w:szCs w:val="32"/>
        </w:rPr>
      </w:pPr>
      <w:r>
        <w:rPr>
          <w:rFonts w:hint="eastAsia" w:ascii="宋体" w:hAnsi="宋体"/>
          <w:sz w:val="32"/>
          <w:szCs w:val="32"/>
        </w:rPr>
        <w:t>本单位各项资金使用严格按照厉行节约的原则，严控“三公”经费、会议费、培训费、差旅费等支出。严格报账程序，严把票据审核关，减少现金支付。认真做好会计核算，做到账账相符、账实相符。确保单位的正常运转，促进各项工作任务顺利完成。各项资金支出符合国家财经法规和财务管理制度规定以及有关专项资金管理办法的规定。在项目经费的使用上，实行“先预算、后执行”，专款专用，按项目实施计划的进度情况进行资金拨付，无截留、挤占、挪用、虚列支出等情况。认真做好每月与银行、财政国库系统的对账工作，加强动态监控，保障机关各项工作顺利开展。严格按照行政事业单位资产管理配置标准、新增资产配置流程、处置审批制度等相关文件要求管理国有资产，做好固定资产采购、报废、调整等相关管理工作，资产录入固定资产管理系统</w:t>
      </w:r>
      <w:r>
        <w:rPr>
          <w:rFonts w:ascii="宋体"/>
          <w:sz w:val="32"/>
          <w:szCs w:val="32"/>
        </w:rPr>
        <w:t>,</w:t>
      </w:r>
      <w:r>
        <w:rPr>
          <w:rFonts w:hint="eastAsia" w:ascii="宋体" w:hAnsi="宋体"/>
          <w:sz w:val="32"/>
          <w:szCs w:val="32"/>
        </w:rPr>
        <w:t>建立资产管理卡片</w:t>
      </w:r>
      <w:r>
        <w:rPr>
          <w:rFonts w:ascii="宋体"/>
          <w:sz w:val="32"/>
          <w:szCs w:val="32"/>
        </w:rPr>
        <w:t>,</w:t>
      </w:r>
      <w:r>
        <w:rPr>
          <w:rFonts w:hint="eastAsia" w:ascii="宋体" w:hAnsi="宋体"/>
          <w:sz w:val="32"/>
          <w:szCs w:val="32"/>
        </w:rPr>
        <w:t>及时更新资产管理信息系统数据，做到账实相符、账卡相符。</w:t>
      </w:r>
    </w:p>
    <w:p>
      <w:pPr>
        <w:widowControl/>
        <w:spacing w:line="600" w:lineRule="exact"/>
        <w:ind w:firstLine="640" w:firstLineChars="200"/>
        <w:jc w:val="left"/>
        <w:rPr>
          <w:rFonts w:ascii="宋体"/>
          <w:sz w:val="32"/>
          <w:szCs w:val="32"/>
        </w:rPr>
      </w:pPr>
      <w:r>
        <w:rPr>
          <w:rFonts w:ascii="宋体" w:hAnsi="宋体"/>
          <w:sz w:val="32"/>
          <w:szCs w:val="32"/>
        </w:rPr>
        <w:t>2021</w:t>
      </w:r>
      <w:r>
        <w:rPr>
          <w:rFonts w:hint="eastAsia" w:ascii="宋体" w:hAnsi="宋体"/>
          <w:sz w:val="32"/>
          <w:szCs w:val="32"/>
        </w:rPr>
        <w:t>年，我队积极履职，强化管理，较好的完成了年度工作绩效目标。</w:t>
      </w:r>
    </w:p>
    <w:p>
      <w:pPr>
        <w:widowControl/>
        <w:spacing w:line="600" w:lineRule="exact"/>
        <w:ind w:firstLine="640" w:firstLineChars="200"/>
        <w:jc w:val="left"/>
        <w:rPr>
          <w:rFonts w:eastAsia="黑体"/>
          <w:sz w:val="32"/>
          <w:szCs w:val="32"/>
        </w:rPr>
      </w:pPr>
      <w:r>
        <w:rPr>
          <w:rFonts w:hint="eastAsia" w:ascii="黑体" w:eastAsia="黑体"/>
          <w:sz w:val="32"/>
          <w:szCs w:val="32"/>
        </w:rPr>
        <w:t>七、存在的问题及原因分析</w:t>
      </w:r>
    </w:p>
    <w:p>
      <w:pPr>
        <w:widowControl/>
        <w:spacing w:line="600" w:lineRule="exact"/>
        <w:ind w:firstLine="640" w:firstLineChars="200"/>
        <w:jc w:val="left"/>
        <w:rPr>
          <w:rFonts w:ascii="宋体"/>
          <w:sz w:val="32"/>
          <w:szCs w:val="32"/>
        </w:rPr>
      </w:pPr>
      <w:r>
        <w:rPr>
          <w:rFonts w:hint="eastAsia" w:ascii="宋体" w:hAnsi="宋体"/>
          <w:sz w:val="32"/>
          <w:szCs w:val="32"/>
        </w:rPr>
        <w:t>预算编制细化程度不够</w:t>
      </w:r>
      <w:r>
        <w:rPr>
          <w:rFonts w:ascii="宋体" w:hAnsi="宋体"/>
          <w:sz w:val="32"/>
          <w:szCs w:val="32"/>
        </w:rPr>
        <w:t>;</w:t>
      </w:r>
      <w:r>
        <w:rPr>
          <w:rFonts w:hint="eastAsia" w:ascii="宋体" w:hAnsi="宋体"/>
          <w:sz w:val="32"/>
          <w:szCs w:val="32"/>
        </w:rPr>
        <w:t>工资总额与日常公用经费不足、与实际支出相差较大。</w:t>
      </w:r>
    </w:p>
    <w:p>
      <w:pPr>
        <w:widowControl/>
        <w:spacing w:line="600" w:lineRule="exact"/>
        <w:ind w:firstLine="640" w:firstLineChars="200"/>
        <w:jc w:val="left"/>
        <w:rPr>
          <w:rFonts w:ascii="黑体" w:hAnsi="Times New Roman" w:eastAsia="黑体"/>
          <w:sz w:val="32"/>
          <w:szCs w:val="32"/>
        </w:rPr>
      </w:pPr>
      <w:r>
        <w:rPr>
          <w:rFonts w:hint="eastAsia" w:ascii="黑体" w:eastAsia="黑体"/>
          <w:sz w:val="32"/>
          <w:szCs w:val="32"/>
        </w:rPr>
        <w:t>八、下一步改进措施</w:t>
      </w:r>
    </w:p>
    <w:p>
      <w:pPr>
        <w:widowControl/>
        <w:spacing w:line="600" w:lineRule="exact"/>
        <w:ind w:firstLine="640" w:firstLineChars="200"/>
        <w:jc w:val="left"/>
        <w:rPr>
          <w:rFonts w:ascii="宋体"/>
          <w:sz w:val="32"/>
          <w:szCs w:val="32"/>
        </w:rPr>
      </w:pPr>
      <w:r>
        <w:rPr>
          <w:rFonts w:ascii="宋体" w:hAnsi="宋体"/>
          <w:sz w:val="32"/>
          <w:szCs w:val="32"/>
        </w:rPr>
        <w:t>1</w:t>
      </w:r>
      <w:r>
        <w:rPr>
          <w:rFonts w:hint="eastAsia" w:ascii="宋体" w:hAnsi="宋体"/>
          <w:sz w:val="32"/>
          <w:szCs w:val="32"/>
        </w:rPr>
        <w:t>、严格执行财务管理制度。严格执行中央和上级有关部门出台的财经纪律相关规定，强化内控建设，防范防控岗位风险</w:t>
      </w:r>
      <w:r>
        <w:rPr>
          <w:rFonts w:ascii="宋体"/>
          <w:sz w:val="32"/>
          <w:szCs w:val="32"/>
        </w:rPr>
        <w:t>,</w:t>
      </w:r>
      <w:r>
        <w:rPr>
          <w:rFonts w:hint="eastAsia" w:ascii="宋体" w:hAnsi="宋体"/>
          <w:sz w:val="32"/>
          <w:szCs w:val="32"/>
        </w:rPr>
        <w:t>确保各项工作有序运转。</w:t>
      </w:r>
    </w:p>
    <w:p>
      <w:pPr>
        <w:widowControl/>
        <w:spacing w:line="600" w:lineRule="exact"/>
        <w:ind w:firstLine="640" w:firstLineChars="200"/>
        <w:jc w:val="left"/>
        <w:rPr>
          <w:rFonts w:ascii="宋体"/>
          <w:sz w:val="32"/>
          <w:szCs w:val="32"/>
        </w:rPr>
      </w:pPr>
      <w:r>
        <w:rPr>
          <w:rFonts w:ascii="宋体" w:hAnsi="宋体"/>
          <w:sz w:val="32"/>
          <w:szCs w:val="32"/>
        </w:rPr>
        <w:t>2</w:t>
      </w:r>
      <w:r>
        <w:rPr>
          <w:rFonts w:hint="eastAsia" w:ascii="宋体" w:hAnsi="宋体"/>
          <w:sz w:val="32"/>
          <w:szCs w:val="32"/>
        </w:rPr>
        <w:t>、加强预算编制的前瞻性，按照新《预算法》及其实施条例的相关规定，按政策规定及本部门的发展规划，结合上一年度预算执行情况和本年度预算收支变化因素，科学、合理地编制本年预算草案，避免预算支出与实际执行出现较大偏差的情况，执行中确需调剂预算的，按规定程序报经批准。让预算编制更贴合实际，使项目预算与工作结合更加紧密。</w:t>
      </w:r>
    </w:p>
    <w:p>
      <w:pPr>
        <w:widowControl/>
        <w:spacing w:line="600" w:lineRule="exact"/>
        <w:ind w:firstLine="640" w:firstLineChars="200"/>
        <w:jc w:val="left"/>
        <w:rPr>
          <w:rFonts w:ascii="宋体"/>
          <w:sz w:val="32"/>
          <w:szCs w:val="32"/>
        </w:rPr>
      </w:pPr>
      <w:r>
        <w:rPr>
          <w:rFonts w:ascii="宋体" w:hAnsi="宋体"/>
          <w:sz w:val="32"/>
          <w:szCs w:val="32"/>
        </w:rPr>
        <w:t>3</w:t>
      </w:r>
      <w:r>
        <w:rPr>
          <w:rFonts w:hint="eastAsia" w:ascii="宋体" w:hAnsi="宋体"/>
          <w:sz w:val="32"/>
          <w:szCs w:val="32"/>
        </w:rPr>
        <w:t>、加强预算绩效管理，增强预算约束力，做好预算项目支出绩效目标及各项绩效指标的细化、量化工作</w:t>
      </w:r>
      <w:r>
        <w:rPr>
          <w:rFonts w:ascii="宋体"/>
          <w:sz w:val="32"/>
          <w:szCs w:val="32"/>
        </w:rPr>
        <w:t>,</w:t>
      </w:r>
      <w:r>
        <w:rPr>
          <w:rFonts w:hint="eastAsia" w:ascii="宋体" w:hAnsi="宋体"/>
          <w:sz w:val="32"/>
          <w:szCs w:val="32"/>
        </w:rPr>
        <w:t>用好用活各类财政资金，提高财政资金的使用效益。</w:t>
      </w:r>
    </w:p>
    <w:p>
      <w:pPr>
        <w:widowControl/>
        <w:spacing w:line="600" w:lineRule="exact"/>
        <w:ind w:firstLine="640" w:firstLineChars="200"/>
        <w:jc w:val="left"/>
        <w:rPr>
          <w:rFonts w:ascii="黑体" w:eastAsia="黑体"/>
          <w:sz w:val="32"/>
          <w:szCs w:val="32"/>
        </w:rPr>
      </w:pPr>
      <w:r>
        <w:rPr>
          <w:rFonts w:hint="eastAsia" w:ascii="黑体" w:eastAsia="黑体"/>
          <w:sz w:val="32"/>
          <w:szCs w:val="32"/>
        </w:rPr>
        <w:t>九、部门整体支出绩效自评结果拟应用和公开情况</w:t>
      </w:r>
    </w:p>
    <w:p>
      <w:pPr>
        <w:ind w:firstLine="640" w:firstLineChars="200"/>
        <w:rPr>
          <w:rFonts w:ascii="宋体"/>
          <w:sz w:val="32"/>
          <w:szCs w:val="32"/>
        </w:rPr>
      </w:pPr>
      <w:r>
        <w:rPr>
          <w:rFonts w:ascii="宋体" w:hAnsi="宋体"/>
          <w:sz w:val="32"/>
          <w:szCs w:val="32"/>
        </w:rPr>
        <w:t>2021</w:t>
      </w:r>
      <w:r>
        <w:rPr>
          <w:rFonts w:hint="eastAsia" w:ascii="宋体" w:hAnsi="宋体"/>
          <w:sz w:val="32"/>
          <w:szCs w:val="32"/>
        </w:rPr>
        <w:t>年我单位按规定在网上公开自评结果，信息资料真实、完整、准确，接受社会监督。</w:t>
      </w:r>
    </w:p>
    <w:p>
      <w:pPr>
        <w:widowControl/>
        <w:spacing w:line="600" w:lineRule="exact"/>
        <w:ind w:firstLine="640" w:firstLineChars="200"/>
        <w:jc w:val="left"/>
        <w:rPr>
          <w:rFonts w:ascii="宋体" w:hAnsi="宋体"/>
          <w:sz w:val="32"/>
          <w:szCs w:val="32"/>
        </w:rPr>
      </w:pPr>
    </w:p>
    <w:p>
      <w:pPr>
        <w:jc w:val="left"/>
        <w:rPr>
          <w:rFonts w:ascii="宋体" w:cs="黑体"/>
          <w:color w:val="000000"/>
          <w:kern w:val="0"/>
          <w:sz w:val="32"/>
          <w:szCs w:val="32"/>
        </w:rPr>
      </w:pPr>
    </w:p>
    <w:p>
      <w:pPr>
        <w:ind w:firstLine="640" w:firstLineChars="200"/>
        <w:jc w:val="left"/>
        <w:rPr>
          <w:rFonts w:ascii="宋体" w:cs="黑体"/>
          <w:color w:val="000000"/>
          <w:kern w:val="0"/>
          <w:sz w:val="32"/>
          <w:szCs w:val="32"/>
        </w:rPr>
      </w:pPr>
    </w:p>
    <w:p>
      <w:pPr>
        <w:spacing w:afterLines="50" w:line="600" w:lineRule="exact"/>
        <w:jc w:val="center"/>
        <w:rPr>
          <w:rFonts w:eastAsia="仿宋_GB2312"/>
          <w:kern w:val="0"/>
          <w:sz w:val="24"/>
          <w:szCs w:val="24"/>
        </w:rPr>
      </w:pPr>
      <w:r>
        <w:rPr>
          <w:rFonts w:ascii="宋体" w:hAnsi="宋体"/>
          <w:kern w:val="0"/>
          <w:sz w:val="36"/>
          <w:szCs w:val="36"/>
        </w:rPr>
        <w:t>2021</w:t>
      </w:r>
      <w:r>
        <w:rPr>
          <w:rFonts w:hint="eastAsia" w:ascii="方正小标宋_GBK" w:eastAsia="方正小标宋_GBK"/>
          <w:kern w:val="0"/>
          <w:sz w:val="36"/>
          <w:szCs w:val="36"/>
        </w:rPr>
        <w:t>年度单位整体支出绩效评价基础数据表</w:t>
      </w:r>
    </w:p>
    <w:tbl>
      <w:tblPr>
        <w:tblStyle w:val="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hint="eastAsia" w:ascii="宋体" w:hAnsi="宋体"/>
                <w:kern w:val="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ascii="仿宋_GB2312" w:eastAsia="仿宋_GB2312"/>
                <w:b/>
                <w:bCs/>
                <w:kern w:val="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rPr>
              <w:t>202</w:t>
            </w:r>
            <w:r>
              <w:rPr>
                <w:rFonts w:ascii="仿宋_GB2312" w:eastAsia="仿宋_GB2312"/>
                <w:b/>
                <w:bCs/>
                <w:kern w:val="0"/>
              </w:rPr>
              <w:t>1</w:t>
            </w:r>
            <w:r>
              <w:rPr>
                <w:rFonts w:hint="eastAsia" w:ascii="仿宋_GB2312" w:eastAsia="仿宋_GB2312"/>
                <w:b/>
                <w:bCs/>
                <w:kern w:val="0"/>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ascii="仿宋_GB2312" w:eastAsia="仿宋_GB2312"/>
                <w:b/>
                <w:bCs/>
                <w:kern w:val="0"/>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ascii="仿宋_GB2312" w:eastAsia="仿宋_GB2312"/>
                <w:kern w:val="0"/>
              </w:rPr>
              <w:t xml:space="preserve">380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ascii="仿宋_GB2312" w:eastAsia="仿宋_GB2312"/>
                <w:kern w:val="0"/>
              </w:rPr>
              <w:t xml:space="preserve">322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rPr>
              <w:t>85%</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宋体"/>
                <w:kern w:val="0"/>
                <w:szCs w:val="21"/>
              </w:rPr>
            </w:pPr>
            <w:r>
              <w:rPr>
                <w:rFonts w:hint="eastAsia" w:ascii="宋体" w:hAnsi="宋体"/>
                <w:kern w:val="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rPr>
              <w:t>20</w:t>
            </w:r>
            <w:r>
              <w:rPr>
                <w:rFonts w:ascii="仿宋_GB2312" w:eastAsia="仿宋_GB2312"/>
                <w:b/>
                <w:bCs/>
                <w:kern w:val="0"/>
              </w:rPr>
              <w:t>20</w:t>
            </w:r>
            <w:r>
              <w:rPr>
                <w:rFonts w:hint="eastAsia" w:ascii="仿宋_GB2312" w:eastAsia="仿宋_GB2312"/>
                <w:b/>
                <w:bCs/>
                <w:kern w:val="0"/>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rPr>
              <w:t>202</w:t>
            </w:r>
            <w:r>
              <w:rPr>
                <w:rFonts w:ascii="仿宋_GB2312" w:eastAsia="仿宋_GB2312"/>
                <w:b/>
                <w:bCs/>
                <w:kern w:val="0"/>
              </w:rPr>
              <w:t>1</w:t>
            </w:r>
            <w:r>
              <w:rPr>
                <w:rFonts w:hint="eastAsia" w:ascii="仿宋_GB2312" w:eastAsia="仿宋_GB2312"/>
                <w:b/>
                <w:bCs/>
                <w:kern w:val="0"/>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rPr>
              <w:t>202</w:t>
            </w:r>
            <w:r>
              <w:rPr>
                <w:rFonts w:ascii="仿宋_GB2312" w:eastAsia="仿宋_GB2312"/>
                <w:b/>
                <w:bCs/>
                <w:kern w:val="0"/>
              </w:rPr>
              <w:t>1</w:t>
            </w:r>
            <w:r>
              <w:rPr>
                <w:rFonts w:hint="eastAsia" w:ascii="仿宋_GB2312" w:eastAsia="仿宋_GB2312"/>
                <w:b/>
                <w:bCs/>
                <w:kern w:val="0"/>
              </w:rPr>
              <w:t>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hint="eastAsia" w:ascii="宋体" w:hAnsi="宋体"/>
                <w:kern w:val="0"/>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15.26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 xml:space="preserve">15.5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15.5</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ascii="宋体" w:hAnsi="宋体"/>
                <w:kern w:val="0"/>
              </w:rPr>
              <w:t xml:space="preserve">   1</w:t>
            </w:r>
            <w:r>
              <w:rPr>
                <w:rFonts w:hint="eastAsia" w:ascii="宋体" w:hAnsi="宋体"/>
                <w:kern w:val="0"/>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13.5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13.5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 xml:space="preserve">13.5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hint="eastAsia" w:ascii="宋体" w:hAnsi="宋体"/>
                <w:kern w:val="0"/>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hint="eastAsia" w:ascii="宋体" w:hAnsi="宋体"/>
                <w:kern w:val="0"/>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13.5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13.5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 xml:space="preserve">13.5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ascii="宋体" w:hAnsi="宋体"/>
                <w:kern w:val="0"/>
              </w:rPr>
              <w:t xml:space="preserve">   2</w:t>
            </w:r>
            <w:r>
              <w:rPr>
                <w:rFonts w:hint="eastAsia" w:ascii="宋体" w:hAnsi="宋体"/>
                <w:kern w:val="0"/>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ascii="宋体" w:hAnsi="宋体"/>
                <w:kern w:val="0"/>
              </w:rPr>
              <w:t xml:space="preserve">   3</w:t>
            </w:r>
            <w:r>
              <w:rPr>
                <w:rFonts w:hint="eastAsia" w:ascii="宋体" w:hAnsi="宋体"/>
                <w:kern w:val="0"/>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1.76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2.00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2.00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hint="eastAsia" w:ascii="宋体" w:hAnsi="宋体"/>
                <w:kern w:val="0"/>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ascii="宋体" w:hAnsi="宋体"/>
                <w:kern w:val="0"/>
              </w:rPr>
              <w:t xml:space="preserve">    1</w:t>
            </w:r>
            <w:r>
              <w:rPr>
                <w:rFonts w:hint="eastAsia" w:ascii="宋体" w:hAnsi="宋体"/>
                <w:kern w:val="0"/>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591.99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123.94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ascii="宋体" w:hAnsi="宋体"/>
                <w:kern w:val="0"/>
              </w:rPr>
              <w:t xml:space="preserve">    2</w:t>
            </w:r>
            <w:r>
              <w:rPr>
                <w:rFonts w:hint="eastAsia" w:ascii="宋体" w:hAnsi="宋体"/>
                <w:kern w:val="0"/>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宋体"/>
                <w:kern w:val="0"/>
                <w:szCs w:val="21"/>
              </w:rPr>
            </w:pPr>
            <w:r>
              <w:rPr>
                <w:rFonts w:hint="eastAsia" w:ascii="宋体"/>
                <w:kern w:val="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ascii="宋体" w:hAnsi="宋体"/>
                <w:kern w:val="0"/>
              </w:rPr>
              <w:t>3</w:t>
            </w:r>
            <w:r>
              <w:rPr>
                <w:rFonts w:hint="eastAsia" w:ascii="宋体" w:hAnsi="宋体"/>
                <w:kern w:val="0"/>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宋体"/>
                <w:kern w:val="0"/>
                <w:szCs w:val="21"/>
              </w:rPr>
            </w:pPr>
            <w:r>
              <w:rPr>
                <w:rFonts w:hint="eastAsia" w:ascii="宋体"/>
                <w:kern w:val="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hint="eastAsia" w:ascii="宋体" w:hAnsi="宋体"/>
                <w:kern w:val="0"/>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440.76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402.85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566.75</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hint="eastAsia" w:ascii="宋体" w:hAnsi="宋体"/>
                <w:kern w:val="0"/>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32.2</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32.00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 xml:space="preserve">34.01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hint="eastAsia" w:ascii="宋体" w:hAnsi="宋体"/>
                <w:kern w:val="0"/>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rPr>
                <w:rFonts w:ascii="宋体"/>
                <w:kern w:val="0"/>
                <w:szCs w:val="21"/>
              </w:rPr>
            </w:pPr>
            <w:r>
              <w:rPr>
                <w:rFonts w:ascii="宋体" w:hAnsi="宋体"/>
                <w:kern w:val="0"/>
              </w:rPr>
              <w:t xml:space="preserve">       77.29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69.6</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 xml:space="preserve">78.11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hint="eastAsia" w:ascii="宋体" w:hAnsi="宋体"/>
                <w:kern w:val="0"/>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10.00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8.00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 xml:space="preserve">8.00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hint="eastAsia" w:ascii="宋体" w:hAnsi="宋体"/>
                <w:kern w:val="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r>
              <w:rPr>
                <w:rFonts w:hint="eastAsia" w:ascii="宋体" w:hAnsi="宋体"/>
                <w:kern w:val="0"/>
              </w:rPr>
              <w:t>部门基本支出预算调整</w:t>
            </w:r>
            <w:r>
              <w:rPr>
                <w:rFonts w:ascii="宋体"/>
                <w:kern w:val="0"/>
              </w:rPr>
              <w:t>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ascii="宋体" w:hAnsi="宋体"/>
                <w:kern w:val="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Cs w:val="21"/>
              </w:rPr>
            </w:pPr>
            <w:r>
              <w:rPr>
                <w:rFonts w:hint="eastAsia" w:ascii="宋体" w:hAnsi="宋体"/>
                <w:kern w:val="0"/>
              </w:rPr>
              <w:t>　</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Cs w:val="21"/>
              </w:rPr>
            </w:pPr>
            <w:r>
              <w:rPr>
                <w:rFonts w:hint="eastAsia" w:ascii="宋体" w:hAnsi="宋体"/>
                <w:kern w:val="0"/>
              </w:rPr>
              <w:t>楼堂馆所控制情况</w:t>
            </w:r>
            <w:r>
              <w:rPr>
                <w:rFonts w:ascii="宋体"/>
                <w:kern w:val="0"/>
              </w:rPr>
              <w:br w:type="textWrapping"/>
            </w:r>
            <w:r>
              <w:rPr>
                <w:rFonts w:hint="eastAsia" w:ascii="宋体" w:hAnsi="宋体"/>
                <w:kern w:val="0"/>
              </w:rPr>
              <w:t>（</w:t>
            </w:r>
            <w:r>
              <w:rPr>
                <w:rFonts w:ascii="宋体" w:hAnsi="宋体"/>
                <w:kern w:val="0"/>
              </w:rPr>
              <w:t>2021</w:t>
            </w:r>
            <w:r>
              <w:rPr>
                <w:rFonts w:hint="eastAsia" w:ascii="宋体" w:hAnsi="宋体"/>
                <w:kern w:val="0"/>
              </w:rPr>
              <w:t>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Cs w:val="21"/>
              </w:rPr>
            </w:pPr>
            <w:r>
              <w:rPr>
                <w:rFonts w:hint="eastAsia" w:ascii="宋体" w:hAnsi="宋体"/>
                <w:kern w:val="0"/>
              </w:rPr>
              <w:t>批复规模</w:t>
            </w:r>
            <w:r>
              <w:rPr>
                <w:rFonts w:ascii="宋体"/>
                <w:kern w:val="0"/>
              </w:rPr>
              <w:br w:type="textWrapping"/>
            </w:r>
            <w:r>
              <w:rPr>
                <w:rFonts w:hint="eastAsia" w:ascii="宋体" w:hAnsi="宋体"/>
                <w:kern w:val="0"/>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Cs w:val="21"/>
              </w:rPr>
            </w:pPr>
            <w:r>
              <w:rPr>
                <w:rFonts w:hint="eastAsia" w:ascii="宋体" w:hAnsi="宋体"/>
                <w:kern w:val="0"/>
              </w:rPr>
              <w:t>实际规模（㎡）</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Cs w:val="21"/>
              </w:rPr>
            </w:pPr>
            <w:r>
              <w:rPr>
                <w:rFonts w:hint="eastAsia" w:ascii="宋体" w:hAnsi="宋体"/>
                <w:kern w:val="0"/>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Cs w:val="21"/>
              </w:rPr>
            </w:pPr>
            <w:r>
              <w:rPr>
                <w:rFonts w:hint="eastAsia" w:ascii="宋体" w:hAnsi="宋体"/>
                <w:kern w:val="0"/>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Cs w:val="21"/>
              </w:rPr>
            </w:pPr>
            <w:r>
              <w:rPr>
                <w:rFonts w:hint="eastAsia" w:ascii="宋体" w:hAnsi="宋体"/>
                <w:kern w:val="0"/>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ascii="宋体"/>
                <w:kern w:val="0"/>
                <w:szCs w:val="21"/>
              </w:rPr>
            </w:pPr>
            <w:r>
              <w:rPr>
                <w:rFonts w:hint="eastAsia" w:ascii="宋体" w:hAnsi="宋体"/>
                <w:kern w:val="0"/>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ascii="宋体"/>
                <w:kern w:val="0"/>
                <w:szCs w:val="21"/>
              </w:rPr>
            </w:pPr>
            <w:r>
              <w:rPr>
                <w:rFonts w:hint="eastAsia" w:ascii="宋体" w:hAnsi="宋体"/>
                <w:kern w:val="0"/>
              </w:rPr>
              <w:t>　</w:t>
            </w:r>
          </w:p>
        </w:tc>
        <w:tc>
          <w:tcPr>
            <w:tcW w:w="849" w:type="dxa"/>
            <w:tcBorders>
              <w:top w:val="nil"/>
              <w:left w:val="nil"/>
              <w:bottom w:val="single" w:color="auto" w:sz="4" w:space="0"/>
              <w:right w:val="single" w:color="auto" w:sz="4" w:space="0"/>
            </w:tcBorders>
            <w:vAlign w:val="center"/>
          </w:tcPr>
          <w:p>
            <w:pPr>
              <w:widowControl/>
              <w:jc w:val="left"/>
              <w:rPr>
                <w:rFonts w:ascii="宋体"/>
                <w:kern w:val="0"/>
                <w:szCs w:val="21"/>
              </w:rPr>
            </w:pPr>
            <w:r>
              <w:rPr>
                <w:rFonts w:hint="eastAsia" w:ascii="宋体" w:hAnsi="宋体"/>
                <w:kern w:val="0"/>
              </w:rPr>
              <w:t>　</w:t>
            </w:r>
          </w:p>
        </w:tc>
        <w:tc>
          <w:tcPr>
            <w:tcW w:w="1129" w:type="dxa"/>
            <w:tcBorders>
              <w:top w:val="nil"/>
              <w:left w:val="nil"/>
              <w:bottom w:val="single" w:color="auto" w:sz="4" w:space="0"/>
              <w:right w:val="single" w:color="auto" w:sz="4" w:space="0"/>
            </w:tcBorders>
            <w:vAlign w:val="center"/>
          </w:tcPr>
          <w:p>
            <w:pPr>
              <w:widowControl/>
              <w:jc w:val="left"/>
              <w:rPr>
                <w:rFonts w:ascii="宋体"/>
                <w:kern w:val="0"/>
                <w:szCs w:val="21"/>
              </w:rPr>
            </w:pPr>
            <w:r>
              <w:rPr>
                <w:rFonts w:hint="eastAsia" w:ascii="宋体" w:hAnsi="宋体"/>
                <w:kern w:val="0"/>
              </w:rPr>
              <w:t>　</w:t>
            </w:r>
          </w:p>
        </w:tc>
        <w:tc>
          <w:tcPr>
            <w:tcW w:w="1111" w:type="dxa"/>
            <w:tcBorders>
              <w:top w:val="nil"/>
              <w:left w:val="nil"/>
              <w:bottom w:val="single" w:color="auto" w:sz="4" w:space="0"/>
              <w:right w:val="single" w:color="auto" w:sz="4" w:space="0"/>
            </w:tcBorders>
            <w:vAlign w:val="center"/>
          </w:tcPr>
          <w:p>
            <w:pPr>
              <w:widowControl/>
              <w:jc w:val="left"/>
              <w:rPr>
                <w:rFonts w:ascii="宋体"/>
                <w:kern w:val="0"/>
                <w:szCs w:val="21"/>
              </w:rPr>
            </w:pPr>
            <w:r>
              <w:rPr>
                <w:rFonts w:hint="eastAsia" w:ascii="宋体" w:hAnsi="宋体"/>
                <w:kern w:val="0"/>
              </w:rPr>
              <w:t>　</w:t>
            </w:r>
          </w:p>
        </w:tc>
        <w:tc>
          <w:tcPr>
            <w:tcW w:w="969" w:type="dxa"/>
            <w:tcBorders>
              <w:top w:val="nil"/>
              <w:left w:val="nil"/>
              <w:bottom w:val="single" w:color="auto" w:sz="4" w:space="0"/>
              <w:right w:val="single" w:color="auto" w:sz="4" w:space="0"/>
            </w:tcBorders>
            <w:vAlign w:val="center"/>
          </w:tcPr>
          <w:p>
            <w:pPr>
              <w:widowControl/>
              <w:jc w:val="left"/>
              <w:rPr>
                <w:rFonts w:ascii="宋体"/>
                <w:kern w:val="0"/>
                <w:szCs w:val="21"/>
              </w:rPr>
            </w:pPr>
            <w:r>
              <w:rPr>
                <w:rFonts w:hint="eastAsia" w:ascii="宋体" w:hAnsi="宋体"/>
                <w:kern w:val="0"/>
              </w:rPr>
              <w:t>　</w:t>
            </w:r>
          </w:p>
        </w:tc>
        <w:tc>
          <w:tcPr>
            <w:tcW w:w="863" w:type="dxa"/>
            <w:tcBorders>
              <w:top w:val="nil"/>
              <w:left w:val="nil"/>
              <w:bottom w:val="single" w:color="auto" w:sz="4" w:space="0"/>
              <w:right w:val="single" w:color="auto" w:sz="4" w:space="0"/>
            </w:tcBorders>
            <w:vAlign w:val="center"/>
          </w:tcPr>
          <w:p>
            <w:pPr>
              <w:widowControl/>
              <w:jc w:val="left"/>
              <w:rPr>
                <w:rFonts w:ascii="宋体"/>
                <w:kern w:val="0"/>
                <w:szCs w:val="21"/>
              </w:rPr>
            </w:pPr>
            <w:r>
              <w:rPr>
                <w:rFonts w:hint="eastAsia" w:ascii="宋体" w:hAnsi="宋体"/>
                <w:kern w:val="0"/>
              </w:rPr>
              <w:t>　</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宋体"/>
                <w:kern w:val="0"/>
                <w:szCs w:val="21"/>
              </w:rPr>
            </w:pPr>
            <w:r>
              <w:rPr>
                <w:rFonts w:hint="eastAsia" w:ascii="宋体" w:hAnsi="宋体"/>
                <w:kern w:val="0"/>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ascii="仿宋_GB2312" w:eastAsia="仿宋_GB2312"/>
                <w:kern w:val="0"/>
              </w:rPr>
              <w:t>　</w:t>
            </w:r>
          </w:p>
        </w:tc>
      </w:tr>
    </w:tbl>
    <w:p>
      <w:pPr>
        <w:widowControl/>
        <w:jc w:val="left"/>
        <w:rPr>
          <w:rFonts w:ascii="Times New Roman" w:hAnsi="Times New Roman" w:eastAsia="仿宋_GB2312"/>
          <w:kern w:val="0"/>
          <w:sz w:val="22"/>
        </w:rPr>
      </w:pPr>
      <w:r>
        <w:rPr>
          <w:rFonts w:hint="eastAsia" w:ascii="仿宋_GB2312" w:eastAsia="仿宋_GB2312"/>
          <w:kern w:val="0"/>
          <w:sz w:val="22"/>
        </w:rPr>
        <w:t>说明：</w:t>
      </w:r>
      <w:r>
        <w:rPr>
          <w:rFonts w:eastAsia="仿宋_GB2312"/>
          <w:kern w:val="0"/>
          <w:sz w:val="22"/>
        </w:rPr>
        <w:t>“</w:t>
      </w:r>
      <w:r>
        <w:rPr>
          <w:rFonts w:hint="eastAsia" w:ascii="仿宋_GB2312" w:eastAsia="仿宋_GB2312"/>
          <w:kern w:val="0"/>
          <w:sz w:val="22"/>
        </w:rPr>
        <w:t>项目支出</w:t>
      </w:r>
      <w:r>
        <w:rPr>
          <w:rFonts w:eastAsia="仿宋_GB2312"/>
          <w:kern w:val="0"/>
          <w:sz w:val="22"/>
        </w:rPr>
        <w:t>”</w:t>
      </w:r>
      <w:r>
        <w:rPr>
          <w:rFonts w:hint="eastAsia" w:ascii="仿宋_GB2312" w:eastAsia="仿宋_GB2312"/>
          <w:kern w:val="0"/>
          <w:sz w:val="22"/>
        </w:rPr>
        <w:t>需要填报基本支出以外的所有项目支出情况，</w:t>
      </w:r>
      <w:r>
        <w:rPr>
          <w:rFonts w:eastAsia="仿宋_GB2312"/>
          <w:kern w:val="0"/>
          <w:sz w:val="22"/>
        </w:rPr>
        <w:t>“</w:t>
      </w:r>
      <w:r>
        <w:rPr>
          <w:rFonts w:hint="eastAsia" w:ascii="仿宋_GB2312" w:eastAsia="仿宋_GB2312"/>
          <w:kern w:val="0"/>
          <w:sz w:val="22"/>
        </w:rPr>
        <w:t>公用经费</w:t>
      </w:r>
      <w:r>
        <w:rPr>
          <w:rFonts w:eastAsia="仿宋_GB2312"/>
          <w:kern w:val="0"/>
          <w:sz w:val="22"/>
        </w:rPr>
        <w:t>”</w:t>
      </w:r>
      <w:r>
        <w:rPr>
          <w:rFonts w:hint="eastAsia" w:ascii="仿宋_GB2312" w:eastAsia="仿宋_GB2312"/>
          <w:kern w:val="0"/>
          <w:sz w:val="22"/>
        </w:rPr>
        <w:t>填报基本支出中的一般商品和服务支出。</w:t>
      </w:r>
    </w:p>
    <w:p>
      <w:pPr>
        <w:widowControl/>
        <w:spacing w:afterLines="50" w:line="400" w:lineRule="exact"/>
        <w:jc w:val="left"/>
        <w:rPr>
          <w:rFonts w:ascii="仿宋_GB2312" w:eastAsia="仿宋_GB2312"/>
          <w:kern w:val="0"/>
          <w:szCs w:val="21"/>
        </w:rPr>
      </w:pPr>
    </w:p>
    <w:p>
      <w:pPr>
        <w:widowControl/>
        <w:spacing w:afterLines="50" w:line="400" w:lineRule="exact"/>
        <w:jc w:val="left"/>
        <w:rPr>
          <w:rFonts w:ascii="仿宋_GB2312" w:eastAsia="仿宋_GB2312"/>
          <w:kern w:val="0"/>
        </w:rPr>
      </w:pPr>
    </w:p>
    <w:p>
      <w:pPr>
        <w:ind w:firstLine="640" w:firstLineChars="200"/>
        <w:jc w:val="left"/>
        <w:rPr>
          <w:rFonts w:ascii="宋体" w:cs="黑体"/>
          <w:color w:val="000000"/>
          <w:kern w:val="0"/>
          <w:sz w:val="32"/>
          <w:szCs w:val="32"/>
        </w:rPr>
      </w:pPr>
    </w:p>
    <w:p>
      <w:pPr>
        <w:ind w:firstLine="640" w:firstLineChars="200"/>
        <w:jc w:val="left"/>
        <w:rPr>
          <w:rFonts w:ascii="宋体" w:cs="黑体"/>
          <w:color w:val="000000"/>
          <w:kern w:val="0"/>
          <w:sz w:val="32"/>
          <w:szCs w:val="32"/>
        </w:rPr>
      </w:pPr>
    </w:p>
    <w:p>
      <w:pPr>
        <w:ind w:firstLine="640" w:firstLineChars="200"/>
        <w:jc w:val="left"/>
        <w:rPr>
          <w:rFonts w:ascii="宋体" w:cs="黑体"/>
          <w:color w:val="000000"/>
          <w:kern w:val="0"/>
          <w:sz w:val="32"/>
          <w:szCs w:val="32"/>
        </w:rPr>
      </w:pPr>
    </w:p>
    <w:p>
      <w:pPr>
        <w:widowControl/>
        <w:spacing w:afterLines="50" w:line="400" w:lineRule="exact"/>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2021</w:t>
      </w:r>
      <w:r>
        <w:rPr>
          <w:rFonts w:hint="eastAsia" w:ascii="方正小标宋_GBK" w:hAnsi="宋体" w:eastAsia="方正小标宋_GBK" w:cs="宋体"/>
          <w:kern w:val="0"/>
          <w:sz w:val="36"/>
          <w:szCs w:val="36"/>
        </w:rPr>
        <w:t>年度部门整体支出绩效自评表</w:t>
      </w:r>
    </w:p>
    <w:p>
      <w:pPr>
        <w:widowControl/>
        <w:spacing w:afterLines="50"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单位：万元</w:t>
      </w:r>
    </w:p>
    <w:tbl>
      <w:tblPr>
        <w:tblStyle w:val="5"/>
        <w:tblW w:w="10100" w:type="dxa"/>
        <w:jc w:val="center"/>
        <w:tblLayout w:type="autofit"/>
        <w:tblCellMar>
          <w:top w:w="0" w:type="dxa"/>
          <w:left w:w="108" w:type="dxa"/>
          <w:bottom w:w="0" w:type="dxa"/>
          <w:right w:w="108" w:type="dxa"/>
        </w:tblCellMar>
      </w:tblPr>
      <w:tblGrid>
        <w:gridCol w:w="1072"/>
        <w:gridCol w:w="1073"/>
        <w:gridCol w:w="945"/>
        <w:gridCol w:w="1253"/>
        <w:gridCol w:w="94"/>
        <w:gridCol w:w="1838"/>
        <w:gridCol w:w="1040"/>
        <w:gridCol w:w="940"/>
        <w:gridCol w:w="784"/>
        <w:gridCol w:w="1061"/>
      </w:tblGrid>
      <w:tr>
        <w:tblPrEx>
          <w:tblCellMar>
            <w:top w:w="0" w:type="dxa"/>
            <w:left w:w="108" w:type="dxa"/>
            <w:bottom w:w="0" w:type="dxa"/>
            <w:right w:w="108" w:type="dxa"/>
          </w:tblCellMar>
        </w:tblPrEx>
        <w:trPr>
          <w:jc w:val="center"/>
        </w:trPr>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省级预算部门名称</w:t>
            </w:r>
          </w:p>
        </w:tc>
        <w:tc>
          <w:tcPr>
            <w:tcW w:w="9028"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湖南省核工业地质局三</w:t>
            </w:r>
            <w:r>
              <w:rPr>
                <w:rFonts w:ascii="宋体" w:cs="宋体"/>
                <w:kern w:val="0"/>
              </w:rPr>
              <w:t>0</w:t>
            </w:r>
            <w:r>
              <w:rPr>
                <w:rFonts w:hint="eastAsia" w:ascii="宋体" w:hAnsi="宋体" w:cs="宋体"/>
                <w:kern w:val="0"/>
              </w:rPr>
              <w:t>六大队</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nil"/>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年度预</w:t>
            </w:r>
          </w:p>
          <w:p>
            <w:pPr>
              <w:widowControl/>
              <w:spacing w:line="240" w:lineRule="exact"/>
              <w:jc w:val="center"/>
              <w:rPr>
                <w:rFonts w:ascii="宋体" w:cs="宋体"/>
                <w:kern w:val="0"/>
                <w:szCs w:val="21"/>
              </w:rPr>
            </w:pPr>
            <w:r>
              <w:rPr>
                <w:rFonts w:hint="eastAsia" w:ascii="宋体" w:hAnsi="宋体" w:cs="宋体"/>
                <w:kern w:val="0"/>
              </w:rPr>
              <w:t>算申请</w:t>
            </w:r>
            <w:r>
              <w:rPr>
                <w:rFonts w:ascii="宋体" w:cs="宋体"/>
                <w:kern w:val="0"/>
              </w:rPr>
              <w:br w:type="textWrapping"/>
            </w:r>
            <w:r>
              <w:rPr>
                <w:rFonts w:hint="eastAsia" w:ascii="宋体" w:hAnsi="宋体" w:cs="宋体"/>
                <w:kern w:val="0"/>
              </w:rPr>
              <w:t>（万元）</w:t>
            </w:r>
          </w:p>
        </w:tc>
        <w:tc>
          <w:tcPr>
            <w:tcW w:w="2018" w:type="dxa"/>
            <w:gridSpan w:val="2"/>
            <w:tcBorders>
              <w:top w:val="nil"/>
              <w:left w:val="nil"/>
              <w:bottom w:val="single" w:color="auto" w:sz="4" w:space="0"/>
              <w:right w:val="single" w:color="auto" w:sz="4" w:space="0"/>
            </w:tcBorders>
            <w:vAlign w:val="center"/>
          </w:tcPr>
          <w:p>
            <w:pPr>
              <w:spacing w:line="240" w:lineRule="exact"/>
              <w:jc w:val="center"/>
              <w:rPr>
                <w:rFonts w:ascii="宋体"/>
                <w:szCs w:val="21"/>
              </w:rPr>
            </w:pPr>
          </w:p>
        </w:tc>
        <w:tc>
          <w:tcPr>
            <w:tcW w:w="1253" w:type="dxa"/>
            <w:tcBorders>
              <w:top w:val="nil"/>
              <w:left w:val="nil"/>
              <w:bottom w:val="single" w:color="auto" w:sz="4" w:space="0"/>
              <w:right w:val="single" w:color="auto" w:sz="4" w:space="0"/>
            </w:tcBorders>
            <w:vAlign w:val="center"/>
          </w:tcPr>
          <w:p>
            <w:pPr>
              <w:spacing w:line="240" w:lineRule="exact"/>
              <w:jc w:val="center"/>
              <w:rPr>
                <w:rFonts w:ascii="宋体"/>
                <w:szCs w:val="21"/>
              </w:rPr>
            </w:pPr>
            <w:r>
              <w:rPr>
                <w:rFonts w:hint="eastAsia" w:ascii="宋体" w:hAnsi="宋体"/>
              </w:rPr>
              <w:t>年初</w:t>
            </w:r>
          </w:p>
          <w:p>
            <w:pPr>
              <w:spacing w:line="240" w:lineRule="exact"/>
              <w:jc w:val="center"/>
              <w:rPr>
                <w:rFonts w:ascii="宋体"/>
                <w:szCs w:val="21"/>
              </w:rPr>
            </w:pPr>
            <w:r>
              <w:rPr>
                <w:rFonts w:hint="eastAsia" w:ascii="宋体" w:hAnsi="宋体"/>
              </w:rPr>
              <w:t>预算数</w:t>
            </w:r>
          </w:p>
        </w:tc>
        <w:tc>
          <w:tcPr>
            <w:tcW w:w="1932" w:type="dxa"/>
            <w:gridSpan w:val="2"/>
            <w:tcBorders>
              <w:top w:val="nil"/>
              <w:left w:val="nil"/>
              <w:bottom w:val="single" w:color="auto" w:sz="4" w:space="0"/>
              <w:right w:val="single" w:color="auto" w:sz="4" w:space="0"/>
            </w:tcBorders>
            <w:vAlign w:val="center"/>
          </w:tcPr>
          <w:p>
            <w:pPr>
              <w:spacing w:line="240" w:lineRule="exact"/>
              <w:jc w:val="center"/>
              <w:rPr>
                <w:rFonts w:ascii="宋体"/>
                <w:szCs w:val="21"/>
              </w:rPr>
            </w:pPr>
            <w:r>
              <w:rPr>
                <w:rFonts w:hint="eastAsia" w:ascii="宋体" w:hAnsi="宋体"/>
              </w:rPr>
              <w:t>全年预算数</w:t>
            </w:r>
          </w:p>
        </w:tc>
        <w:tc>
          <w:tcPr>
            <w:tcW w:w="1040" w:type="dxa"/>
            <w:tcBorders>
              <w:top w:val="nil"/>
              <w:left w:val="nil"/>
              <w:bottom w:val="single" w:color="auto" w:sz="4" w:space="0"/>
              <w:right w:val="single" w:color="auto" w:sz="4" w:space="0"/>
            </w:tcBorders>
            <w:vAlign w:val="center"/>
          </w:tcPr>
          <w:p>
            <w:pPr>
              <w:spacing w:line="240" w:lineRule="exact"/>
              <w:jc w:val="center"/>
              <w:rPr>
                <w:rFonts w:ascii="宋体"/>
                <w:szCs w:val="21"/>
              </w:rPr>
            </w:pPr>
            <w:r>
              <w:rPr>
                <w:rFonts w:hint="eastAsia" w:ascii="宋体" w:hAnsi="宋体"/>
              </w:rPr>
              <w:t>全年执行数</w:t>
            </w:r>
          </w:p>
        </w:tc>
        <w:tc>
          <w:tcPr>
            <w:tcW w:w="940" w:type="dxa"/>
            <w:tcBorders>
              <w:top w:val="nil"/>
              <w:left w:val="nil"/>
              <w:bottom w:val="single" w:color="auto" w:sz="4" w:space="0"/>
              <w:right w:val="single" w:color="auto" w:sz="4" w:space="0"/>
            </w:tcBorders>
            <w:vAlign w:val="center"/>
          </w:tcPr>
          <w:p>
            <w:pPr>
              <w:spacing w:line="240" w:lineRule="exact"/>
              <w:jc w:val="center"/>
              <w:rPr>
                <w:rFonts w:ascii="宋体"/>
                <w:szCs w:val="21"/>
              </w:rPr>
            </w:pPr>
            <w:r>
              <w:rPr>
                <w:rFonts w:hint="eastAsia" w:ascii="宋体" w:hAnsi="宋体"/>
              </w:rPr>
              <w:t>分值</w:t>
            </w:r>
          </w:p>
        </w:tc>
        <w:tc>
          <w:tcPr>
            <w:tcW w:w="784" w:type="dxa"/>
            <w:tcBorders>
              <w:top w:val="nil"/>
              <w:left w:val="nil"/>
              <w:bottom w:val="single" w:color="auto" w:sz="4" w:space="0"/>
              <w:right w:val="single" w:color="auto" w:sz="4" w:space="0"/>
            </w:tcBorders>
            <w:vAlign w:val="center"/>
          </w:tcPr>
          <w:p>
            <w:pPr>
              <w:spacing w:line="240" w:lineRule="exact"/>
              <w:jc w:val="center"/>
              <w:rPr>
                <w:rFonts w:ascii="宋体"/>
                <w:szCs w:val="21"/>
              </w:rPr>
            </w:pPr>
            <w:r>
              <w:rPr>
                <w:rFonts w:hint="eastAsia" w:ascii="宋体" w:hAnsi="宋体"/>
              </w:rPr>
              <w:t>执行率</w:t>
            </w:r>
          </w:p>
        </w:tc>
        <w:tc>
          <w:tcPr>
            <w:tcW w:w="1061" w:type="dxa"/>
            <w:tcBorders>
              <w:top w:val="nil"/>
              <w:left w:val="nil"/>
              <w:bottom w:val="single" w:color="auto" w:sz="4" w:space="0"/>
              <w:right w:val="single" w:color="auto" w:sz="4" w:space="0"/>
            </w:tcBorders>
            <w:vAlign w:val="center"/>
          </w:tcPr>
          <w:p>
            <w:pPr>
              <w:spacing w:line="240" w:lineRule="exact"/>
              <w:jc w:val="center"/>
              <w:rPr>
                <w:rFonts w:ascii="宋体"/>
                <w:szCs w:val="21"/>
              </w:rPr>
            </w:pPr>
            <w:r>
              <w:rPr>
                <w:rFonts w:hint="eastAsia" w:ascii="宋体" w:hAnsi="宋体"/>
              </w:rPr>
              <w:t>得分</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2018" w:type="dxa"/>
            <w:gridSpan w:val="2"/>
            <w:tcBorders>
              <w:top w:val="nil"/>
              <w:left w:val="nil"/>
              <w:bottom w:val="single" w:color="auto" w:sz="4" w:space="0"/>
              <w:right w:val="single" w:color="auto" w:sz="4" w:space="0"/>
            </w:tcBorders>
            <w:vAlign w:val="center"/>
          </w:tcPr>
          <w:p>
            <w:pPr>
              <w:spacing w:line="240" w:lineRule="exact"/>
              <w:jc w:val="center"/>
              <w:rPr>
                <w:rFonts w:ascii="宋体"/>
                <w:szCs w:val="21"/>
              </w:rPr>
            </w:pPr>
            <w:r>
              <w:rPr>
                <w:rFonts w:hint="eastAsia" w:ascii="宋体" w:hAnsi="宋体" w:cs="宋体"/>
                <w:kern w:val="0"/>
              </w:rPr>
              <w:t>年度资金总额</w:t>
            </w:r>
          </w:p>
        </w:tc>
        <w:tc>
          <w:tcPr>
            <w:tcW w:w="1253" w:type="dxa"/>
            <w:tcBorders>
              <w:top w:val="nil"/>
              <w:left w:val="nil"/>
              <w:bottom w:val="single" w:color="auto" w:sz="4" w:space="0"/>
              <w:right w:val="single" w:color="auto" w:sz="4" w:space="0"/>
            </w:tcBorders>
            <w:vAlign w:val="center"/>
          </w:tcPr>
          <w:p>
            <w:pPr>
              <w:spacing w:line="240" w:lineRule="exact"/>
              <w:jc w:val="center"/>
              <w:rPr>
                <w:rFonts w:ascii="宋体"/>
                <w:szCs w:val="21"/>
              </w:rPr>
            </w:pPr>
            <w:r>
              <w:rPr>
                <w:rFonts w:ascii="宋体" w:hAnsi="宋体"/>
              </w:rPr>
              <w:t>3440.26</w:t>
            </w:r>
          </w:p>
        </w:tc>
        <w:tc>
          <w:tcPr>
            <w:tcW w:w="1932" w:type="dxa"/>
            <w:gridSpan w:val="2"/>
            <w:tcBorders>
              <w:top w:val="nil"/>
              <w:left w:val="nil"/>
              <w:bottom w:val="single" w:color="auto" w:sz="4" w:space="0"/>
              <w:right w:val="single" w:color="auto" w:sz="4" w:space="0"/>
            </w:tcBorders>
            <w:vAlign w:val="center"/>
          </w:tcPr>
          <w:p>
            <w:pPr>
              <w:spacing w:line="240" w:lineRule="exact"/>
              <w:jc w:val="center"/>
              <w:rPr>
                <w:rFonts w:ascii="宋体"/>
                <w:szCs w:val="21"/>
              </w:rPr>
            </w:pPr>
            <w:r>
              <w:rPr>
                <w:rFonts w:ascii="宋体" w:hAnsi="宋体"/>
              </w:rPr>
              <w:t>3818.71</w:t>
            </w:r>
          </w:p>
        </w:tc>
        <w:tc>
          <w:tcPr>
            <w:tcW w:w="1040" w:type="dxa"/>
            <w:tcBorders>
              <w:top w:val="nil"/>
              <w:left w:val="nil"/>
              <w:bottom w:val="single" w:color="auto" w:sz="4" w:space="0"/>
              <w:right w:val="single" w:color="auto" w:sz="4" w:space="0"/>
            </w:tcBorders>
            <w:vAlign w:val="center"/>
          </w:tcPr>
          <w:p>
            <w:pPr>
              <w:spacing w:line="240" w:lineRule="exact"/>
              <w:jc w:val="center"/>
              <w:rPr>
                <w:rFonts w:ascii="宋体"/>
                <w:szCs w:val="21"/>
              </w:rPr>
            </w:pPr>
            <w:r>
              <w:rPr>
                <w:rFonts w:ascii="宋体" w:hAnsi="宋体"/>
              </w:rPr>
              <w:t>3728.1</w:t>
            </w:r>
          </w:p>
        </w:tc>
        <w:tc>
          <w:tcPr>
            <w:tcW w:w="940" w:type="dxa"/>
            <w:tcBorders>
              <w:top w:val="nil"/>
              <w:left w:val="nil"/>
              <w:bottom w:val="single" w:color="auto" w:sz="4" w:space="0"/>
              <w:right w:val="single" w:color="auto" w:sz="4" w:space="0"/>
            </w:tcBorders>
            <w:vAlign w:val="center"/>
          </w:tcPr>
          <w:p>
            <w:pPr>
              <w:spacing w:line="240" w:lineRule="exact"/>
              <w:jc w:val="center"/>
              <w:rPr>
                <w:rFonts w:ascii="宋体"/>
                <w:szCs w:val="21"/>
              </w:rPr>
            </w:pPr>
            <w:r>
              <w:rPr>
                <w:rFonts w:ascii="宋体" w:hAnsi="宋体"/>
              </w:rPr>
              <w:t>10</w:t>
            </w:r>
          </w:p>
        </w:tc>
        <w:tc>
          <w:tcPr>
            <w:tcW w:w="784" w:type="dxa"/>
            <w:tcBorders>
              <w:top w:val="nil"/>
              <w:left w:val="nil"/>
              <w:bottom w:val="single" w:color="auto" w:sz="4" w:space="0"/>
              <w:right w:val="single" w:color="auto" w:sz="4" w:space="0"/>
            </w:tcBorders>
            <w:vAlign w:val="center"/>
          </w:tcPr>
          <w:p>
            <w:pPr>
              <w:spacing w:line="240" w:lineRule="exact"/>
              <w:jc w:val="center"/>
              <w:rPr>
                <w:rFonts w:ascii="宋体"/>
                <w:szCs w:val="21"/>
              </w:rPr>
            </w:pPr>
            <w:r>
              <w:rPr>
                <w:rFonts w:ascii="宋体" w:hAnsi="宋体"/>
              </w:rPr>
              <w:t>98%</w:t>
            </w:r>
          </w:p>
        </w:tc>
        <w:tc>
          <w:tcPr>
            <w:tcW w:w="1061" w:type="dxa"/>
            <w:tcBorders>
              <w:top w:val="nil"/>
              <w:left w:val="nil"/>
              <w:bottom w:val="single" w:color="auto" w:sz="4" w:space="0"/>
              <w:right w:val="single" w:color="auto" w:sz="4" w:space="0"/>
            </w:tcBorders>
            <w:vAlign w:val="center"/>
          </w:tcPr>
          <w:p>
            <w:pPr>
              <w:spacing w:line="240" w:lineRule="exact"/>
              <w:jc w:val="center"/>
              <w:rPr>
                <w:rFonts w:ascii="宋体"/>
                <w:szCs w:val="21"/>
              </w:rPr>
            </w:pPr>
            <w:r>
              <w:rPr>
                <w:rFonts w:ascii="宋体" w:hAnsi="宋体"/>
              </w:rPr>
              <w:t xml:space="preserve">9 </w:t>
            </w:r>
          </w:p>
        </w:tc>
      </w:tr>
      <w:tr>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5203" w:type="dxa"/>
            <w:gridSpan w:val="5"/>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按收入性质分：</w:t>
            </w:r>
          </w:p>
        </w:tc>
        <w:tc>
          <w:tcPr>
            <w:tcW w:w="3825" w:type="dxa"/>
            <w:gridSpan w:val="4"/>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按支出性质分：</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5203" w:type="dxa"/>
            <w:gridSpan w:val="5"/>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其中：一般公共预算：</w:t>
            </w:r>
            <w:r>
              <w:rPr>
                <w:rFonts w:ascii="宋体" w:hAnsi="宋体" w:cs="宋体"/>
                <w:kern w:val="0"/>
              </w:rPr>
              <w:t>3818.71</w:t>
            </w:r>
          </w:p>
        </w:tc>
        <w:tc>
          <w:tcPr>
            <w:tcW w:w="3825" w:type="dxa"/>
            <w:gridSpan w:val="4"/>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其中：基本支出：</w:t>
            </w:r>
            <w:r>
              <w:rPr>
                <w:rFonts w:ascii="宋体" w:hAnsi="宋体" w:cs="宋体"/>
                <w:kern w:val="0"/>
              </w:rPr>
              <w:t>3604.16</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5203" w:type="dxa"/>
            <w:gridSpan w:val="5"/>
            <w:tcBorders>
              <w:top w:val="nil"/>
              <w:left w:val="nil"/>
              <w:bottom w:val="single" w:color="auto" w:sz="4" w:space="0"/>
              <w:right w:val="single" w:color="auto" w:sz="4" w:space="0"/>
            </w:tcBorders>
            <w:vAlign w:val="center"/>
          </w:tcPr>
          <w:p>
            <w:pPr>
              <w:widowControl/>
              <w:spacing w:line="240" w:lineRule="exact"/>
              <w:ind w:firstLine="840" w:firstLineChars="400"/>
              <w:jc w:val="left"/>
              <w:rPr>
                <w:rFonts w:ascii="宋体" w:cs="宋体"/>
                <w:kern w:val="0"/>
                <w:szCs w:val="21"/>
              </w:rPr>
            </w:pPr>
            <w:r>
              <w:rPr>
                <w:rFonts w:hint="eastAsia" w:ascii="宋体" w:hAnsi="宋体" w:cs="宋体"/>
                <w:kern w:val="0"/>
              </w:rPr>
              <w:t>政府性基金拨款：</w:t>
            </w:r>
          </w:p>
        </w:tc>
        <w:tc>
          <w:tcPr>
            <w:tcW w:w="3825" w:type="dxa"/>
            <w:gridSpan w:val="4"/>
            <w:tcBorders>
              <w:top w:val="nil"/>
              <w:left w:val="nil"/>
              <w:bottom w:val="single" w:color="auto" w:sz="4" w:space="0"/>
              <w:right w:val="single" w:color="auto" w:sz="4" w:space="0"/>
            </w:tcBorders>
            <w:vAlign w:val="center"/>
          </w:tcPr>
          <w:p>
            <w:pPr>
              <w:widowControl/>
              <w:spacing w:line="240" w:lineRule="exact"/>
              <w:ind w:firstLine="630" w:firstLineChars="300"/>
              <w:jc w:val="left"/>
              <w:rPr>
                <w:rFonts w:ascii="宋体" w:cs="宋体"/>
                <w:kern w:val="0"/>
                <w:szCs w:val="21"/>
              </w:rPr>
            </w:pPr>
            <w:r>
              <w:rPr>
                <w:rFonts w:hint="eastAsia" w:ascii="宋体" w:hAnsi="宋体" w:cs="宋体"/>
                <w:kern w:val="0"/>
              </w:rPr>
              <w:t>项目支出：</w:t>
            </w:r>
            <w:r>
              <w:rPr>
                <w:rFonts w:ascii="宋体" w:hAnsi="宋体" w:cs="宋体"/>
                <w:kern w:val="0"/>
              </w:rPr>
              <w:t>123.94</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5203" w:type="dxa"/>
            <w:gridSpan w:val="5"/>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纳入专户管理的非税收入拨款：</w:t>
            </w:r>
          </w:p>
        </w:tc>
        <w:tc>
          <w:tcPr>
            <w:tcW w:w="3825" w:type="dxa"/>
            <w:gridSpan w:val="4"/>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p>
        </w:tc>
      </w:tr>
      <w:tr>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5203" w:type="dxa"/>
            <w:gridSpan w:val="5"/>
            <w:tcBorders>
              <w:top w:val="nil"/>
              <w:left w:val="nil"/>
              <w:bottom w:val="single" w:color="auto" w:sz="4" w:space="0"/>
              <w:right w:val="single" w:color="auto" w:sz="4" w:space="0"/>
            </w:tcBorders>
            <w:vAlign w:val="center"/>
          </w:tcPr>
          <w:p>
            <w:pPr>
              <w:widowControl/>
              <w:spacing w:line="240" w:lineRule="exact"/>
              <w:ind w:firstLine="1470" w:firstLineChars="700"/>
              <w:jc w:val="left"/>
              <w:rPr>
                <w:rFonts w:ascii="宋体" w:cs="宋体"/>
                <w:kern w:val="0"/>
                <w:szCs w:val="21"/>
              </w:rPr>
            </w:pPr>
            <w:r>
              <w:rPr>
                <w:rFonts w:hint="eastAsia" w:ascii="宋体" w:hAnsi="宋体" w:cs="宋体"/>
                <w:kern w:val="0"/>
              </w:rPr>
              <w:t>其他资金：</w:t>
            </w:r>
          </w:p>
        </w:tc>
        <w:tc>
          <w:tcPr>
            <w:tcW w:w="3825" w:type="dxa"/>
            <w:gridSpan w:val="4"/>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年度总体目标</w:t>
            </w:r>
          </w:p>
        </w:tc>
        <w:tc>
          <w:tcPr>
            <w:tcW w:w="5203"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kern w:val="0"/>
                <w:szCs w:val="21"/>
              </w:rPr>
            </w:pPr>
            <w:r>
              <w:rPr>
                <w:rFonts w:hint="eastAsia" w:ascii="宋体" w:hAnsi="宋体" w:cs="宋体"/>
                <w:kern w:val="0"/>
              </w:rPr>
              <w:t>预期目标</w:t>
            </w:r>
          </w:p>
        </w:tc>
        <w:tc>
          <w:tcPr>
            <w:tcW w:w="382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实际完成情况</w:t>
            </w:r>
          </w:p>
        </w:tc>
      </w:tr>
      <w:tr>
        <w:tblPrEx>
          <w:tblCellMar>
            <w:top w:w="0" w:type="dxa"/>
            <w:left w:w="108" w:type="dxa"/>
            <w:bottom w:w="0" w:type="dxa"/>
            <w:right w:w="108" w:type="dxa"/>
          </w:tblCellMar>
        </w:tblPrEx>
        <w:trPr>
          <w:trHeight w:val="813"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5203" w:type="dxa"/>
            <w:gridSpan w:val="5"/>
            <w:tcBorders>
              <w:top w:val="single" w:color="auto" w:sz="4" w:space="0"/>
              <w:left w:val="nil"/>
              <w:bottom w:val="single" w:color="auto" w:sz="4" w:space="0"/>
              <w:right w:val="single" w:color="000000" w:sz="4" w:space="0"/>
            </w:tcBorders>
            <w:vAlign w:val="center"/>
          </w:tcPr>
          <w:p>
            <w:pPr>
              <w:widowControl/>
              <w:spacing w:line="240" w:lineRule="exact"/>
              <w:rPr>
                <w:rFonts w:ascii="宋体"/>
                <w:szCs w:val="21"/>
              </w:rPr>
            </w:pPr>
            <w:r>
              <w:rPr>
                <w:rFonts w:hint="eastAsia" w:ascii="宋体" w:hAnsi="宋体"/>
                <w:color w:val="000000"/>
                <w:kern w:val="0"/>
              </w:rPr>
              <w:t>党建工作持续进一步加强，提高经济发展质量，提升内部管理水平，逐步实现民生和谐。</w:t>
            </w:r>
          </w:p>
        </w:tc>
        <w:tc>
          <w:tcPr>
            <w:tcW w:w="3825"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按照年度总体目标，有序推进各项工作，已完成预期目标。</w:t>
            </w:r>
          </w:p>
        </w:tc>
      </w:tr>
      <w:tr>
        <w:tblPrEx>
          <w:tblCellMar>
            <w:top w:w="0" w:type="dxa"/>
            <w:left w:w="108" w:type="dxa"/>
            <w:bottom w:w="0" w:type="dxa"/>
            <w:right w:w="108" w:type="dxa"/>
          </w:tblCellMar>
        </w:tblPrEx>
        <w:trPr>
          <w:jc w:val="center"/>
        </w:trPr>
        <w:tc>
          <w:tcPr>
            <w:tcW w:w="1072" w:type="dxa"/>
            <w:vMerge w:val="restart"/>
            <w:tcBorders>
              <w:top w:val="nil"/>
              <w:left w:val="single" w:color="auto" w:sz="4" w:space="0"/>
              <w:bottom w:val="nil"/>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绩</w:t>
            </w:r>
          </w:p>
          <w:p>
            <w:pPr>
              <w:widowControl/>
              <w:spacing w:line="240" w:lineRule="exact"/>
              <w:jc w:val="center"/>
              <w:rPr>
                <w:rFonts w:ascii="宋体" w:cs="宋体"/>
                <w:kern w:val="0"/>
              </w:rPr>
            </w:pPr>
            <w:r>
              <w:rPr>
                <w:rFonts w:hint="eastAsia" w:ascii="宋体" w:hAnsi="宋体" w:cs="宋体"/>
                <w:kern w:val="0"/>
              </w:rPr>
              <w:t>效</w:t>
            </w:r>
          </w:p>
          <w:p>
            <w:pPr>
              <w:widowControl/>
              <w:spacing w:line="240" w:lineRule="exact"/>
              <w:jc w:val="center"/>
              <w:rPr>
                <w:rFonts w:ascii="宋体" w:cs="宋体"/>
                <w:kern w:val="0"/>
              </w:rPr>
            </w:pPr>
            <w:r>
              <w:rPr>
                <w:rFonts w:hint="eastAsia" w:ascii="宋体" w:hAnsi="宋体" w:cs="宋体"/>
                <w:kern w:val="0"/>
              </w:rPr>
              <w:t>指</w:t>
            </w:r>
          </w:p>
          <w:p>
            <w:pPr>
              <w:widowControl/>
              <w:spacing w:line="240" w:lineRule="exact"/>
              <w:jc w:val="center"/>
              <w:rPr>
                <w:rFonts w:ascii="宋体" w:cs="宋体"/>
                <w:kern w:val="0"/>
                <w:szCs w:val="21"/>
              </w:rPr>
            </w:pPr>
            <w:r>
              <w:rPr>
                <w:rFonts w:hint="eastAsia" w:ascii="宋体" w:hAnsi="宋体" w:cs="宋体"/>
                <w:kern w:val="0"/>
              </w:rPr>
              <w:t>标</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一级指标</w:t>
            </w:r>
          </w:p>
        </w:tc>
        <w:tc>
          <w:tcPr>
            <w:tcW w:w="94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二级指标</w:t>
            </w:r>
          </w:p>
        </w:tc>
        <w:tc>
          <w:tcPr>
            <w:tcW w:w="134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三级指标</w:t>
            </w:r>
          </w:p>
        </w:tc>
        <w:tc>
          <w:tcPr>
            <w:tcW w:w="183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年度</w:t>
            </w:r>
          </w:p>
          <w:p>
            <w:pPr>
              <w:widowControl/>
              <w:spacing w:line="240" w:lineRule="exact"/>
              <w:jc w:val="center"/>
              <w:rPr>
                <w:rFonts w:ascii="宋体" w:cs="宋体"/>
                <w:kern w:val="0"/>
                <w:szCs w:val="21"/>
              </w:rPr>
            </w:pPr>
            <w:r>
              <w:rPr>
                <w:rFonts w:hint="eastAsia" w:ascii="宋体" w:hAnsi="宋体" w:cs="宋体"/>
                <w:kern w:val="0"/>
              </w:rPr>
              <w:t>指标值</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实际完成值</w:t>
            </w:r>
          </w:p>
        </w:tc>
        <w:tc>
          <w:tcPr>
            <w:tcW w:w="94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分值</w:t>
            </w:r>
          </w:p>
        </w:tc>
        <w:tc>
          <w:tcPr>
            <w:tcW w:w="78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得分</w:t>
            </w:r>
          </w:p>
        </w:tc>
        <w:tc>
          <w:tcPr>
            <w:tcW w:w="106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偏差原因</w:t>
            </w:r>
          </w:p>
          <w:p>
            <w:pPr>
              <w:widowControl/>
              <w:spacing w:line="240" w:lineRule="exact"/>
              <w:jc w:val="center"/>
              <w:rPr>
                <w:rFonts w:ascii="宋体" w:cs="宋体"/>
                <w:kern w:val="0"/>
              </w:rPr>
            </w:pPr>
            <w:r>
              <w:rPr>
                <w:rFonts w:hint="eastAsia" w:ascii="宋体" w:hAnsi="宋体" w:cs="宋体"/>
                <w:kern w:val="0"/>
              </w:rPr>
              <w:t>分析及</w:t>
            </w:r>
          </w:p>
          <w:p>
            <w:pPr>
              <w:widowControl/>
              <w:spacing w:line="240" w:lineRule="exact"/>
              <w:jc w:val="center"/>
              <w:rPr>
                <w:rFonts w:ascii="宋体" w:cs="宋体"/>
                <w:kern w:val="0"/>
                <w:szCs w:val="21"/>
              </w:rPr>
            </w:pPr>
            <w:r>
              <w:rPr>
                <w:rFonts w:hint="eastAsia" w:ascii="宋体" w:hAnsi="宋体" w:cs="宋体"/>
                <w:kern w:val="0"/>
              </w:rPr>
              <w:t>改进措施</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1073" w:type="dxa"/>
            <w:vMerge w:val="restart"/>
            <w:tcBorders>
              <w:top w:val="nil"/>
              <w:left w:val="nil"/>
              <w:bottom w:val="nil"/>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产出指标</w:t>
            </w:r>
          </w:p>
          <w:p>
            <w:pPr>
              <w:widowControl/>
              <w:spacing w:line="240" w:lineRule="exact"/>
              <w:jc w:val="center"/>
              <w:rPr>
                <w:rFonts w:ascii="宋体" w:cs="宋体"/>
                <w:kern w:val="0"/>
              </w:rPr>
            </w:pPr>
          </w:p>
          <w:p>
            <w:pPr>
              <w:widowControl/>
              <w:spacing w:line="240" w:lineRule="exact"/>
              <w:jc w:val="center"/>
              <w:rPr>
                <w:rFonts w:ascii="宋体" w:cs="宋体"/>
                <w:kern w:val="0"/>
                <w:szCs w:val="21"/>
              </w:rPr>
            </w:pPr>
            <w:r>
              <w:rPr>
                <w:rFonts w:ascii="宋体" w:hAnsi="宋体" w:cs="宋体"/>
                <w:kern w:val="0"/>
              </w:rPr>
              <w:t>(50</w:t>
            </w:r>
            <w:r>
              <w:rPr>
                <w:rFonts w:hint="eastAsia" w:ascii="宋体" w:hAnsi="宋体" w:cs="宋体"/>
                <w:kern w:val="0"/>
              </w:rPr>
              <w:t>分</w:t>
            </w:r>
            <w:r>
              <w:rPr>
                <w:rFonts w:ascii="宋体" w:hAnsi="宋体" w:cs="宋体"/>
                <w:kern w:val="0"/>
              </w:rPr>
              <w:t>)</w:t>
            </w:r>
          </w:p>
        </w:tc>
        <w:tc>
          <w:tcPr>
            <w:tcW w:w="945" w:type="dxa"/>
            <w:vMerge w:val="restart"/>
            <w:tcBorders>
              <w:top w:val="nil"/>
              <w:left w:val="nil"/>
              <w:bottom w:val="nil"/>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数量指标</w:t>
            </w:r>
          </w:p>
        </w:tc>
        <w:tc>
          <w:tcPr>
            <w:tcW w:w="1347"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收入完成率</w:t>
            </w:r>
          </w:p>
        </w:tc>
        <w:tc>
          <w:tcPr>
            <w:tcW w:w="1838"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（预算收入实际完成数</w:t>
            </w:r>
            <w:r>
              <w:rPr>
                <w:rFonts w:ascii="宋体" w:hAnsi="宋体" w:cs="宋体"/>
                <w:kern w:val="0"/>
              </w:rPr>
              <w:t>/</w:t>
            </w:r>
            <w:r>
              <w:rPr>
                <w:rFonts w:hint="eastAsia" w:ascii="宋体" w:hAnsi="宋体" w:cs="宋体"/>
                <w:kern w:val="0"/>
              </w:rPr>
              <w:t>收入预算数）</w:t>
            </w:r>
            <w:r>
              <w:rPr>
                <w:rFonts w:ascii="宋体" w:hAnsi="宋体" w:cs="宋体"/>
                <w:kern w:val="0"/>
              </w:rPr>
              <w:t>*100%</w:t>
            </w:r>
          </w:p>
        </w:tc>
        <w:tc>
          <w:tcPr>
            <w:tcW w:w="104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100%</w:t>
            </w:r>
          </w:p>
        </w:tc>
        <w:tc>
          <w:tcPr>
            <w:tcW w:w="94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15</w:t>
            </w:r>
          </w:p>
        </w:tc>
        <w:tc>
          <w:tcPr>
            <w:tcW w:w="7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15</w:t>
            </w:r>
          </w:p>
        </w:tc>
        <w:tc>
          <w:tcPr>
            <w:tcW w:w="1061"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p>
        </w:tc>
      </w:tr>
      <w:tr>
        <w:tblPrEx>
          <w:tblCellMar>
            <w:top w:w="0" w:type="dxa"/>
            <w:left w:w="108" w:type="dxa"/>
            <w:bottom w:w="0" w:type="dxa"/>
            <w:right w:w="108" w:type="dxa"/>
          </w:tblCellMar>
        </w:tblPrEx>
        <w:trPr>
          <w:trHeight w:val="715" w:hRule="atLeast"/>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0" w:type="auto"/>
            <w:vMerge w:val="continue"/>
            <w:tcBorders>
              <w:top w:val="nil"/>
              <w:left w:val="nil"/>
              <w:bottom w:val="nil"/>
              <w:right w:val="single" w:color="auto" w:sz="4" w:space="0"/>
            </w:tcBorders>
            <w:vAlign w:val="center"/>
          </w:tcPr>
          <w:p>
            <w:pPr>
              <w:widowControl/>
              <w:jc w:val="left"/>
              <w:rPr>
                <w:rFonts w:ascii="宋体" w:cs="宋体"/>
                <w:kern w:val="0"/>
                <w:szCs w:val="21"/>
              </w:rPr>
            </w:pPr>
          </w:p>
        </w:tc>
        <w:tc>
          <w:tcPr>
            <w:tcW w:w="0" w:type="auto"/>
            <w:vMerge w:val="continue"/>
            <w:tcBorders>
              <w:top w:val="nil"/>
              <w:left w:val="nil"/>
              <w:bottom w:val="nil"/>
              <w:right w:val="single" w:color="auto" w:sz="4" w:space="0"/>
            </w:tcBorders>
            <w:vAlign w:val="center"/>
          </w:tcPr>
          <w:p>
            <w:pPr>
              <w:widowControl/>
              <w:jc w:val="left"/>
              <w:rPr>
                <w:rFonts w:ascii="宋体" w:cs="宋体"/>
                <w:kern w:val="0"/>
                <w:szCs w:val="21"/>
              </w:rPr>
            </w:pPr>
          </w:p>
        </w:tc>
        <w:tc>
          <w:tcPr>
            <w:tcW w:w="1347"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支出完成率</w:t>
            </w:r>
          </w:p>
        </w:tc>
        <w:tc>
          <w:tcPr>
            <w:tcW w:w="1838" w:type="dxa"/>
            <w:tcBorders>
              <w:top w:val="nil"/>
              <w:left w:val="nil"/>
              <w:bottom w:val="single" w:color="auto" w:sz="4" w:space="0"/>
              <w:right w:val="single" w:color="auto" w:sz="4" w:space="0"/>
            </w:tcBorders>
            <w:vAlign w:val="center"/>
          </w:tcPr>
          <w:p>
            <w:pPr>
              <w:spacing w:line="240" w:lineRule="exact"/>
              <w:jc w:val="left"/>
              <w:rPr>
                <w:rFonts w:ascii="宋体" w:cs="宋体"/>
                <w:kern w:val="0"/>
                <w:szCs w:val="21"/>
              </w:rPr>
            </w:pPr>
            <w:r>
              <w:rPr>
                <w:rFonts w:hint="eastAsia" w:ascii="宋体" w:hAnsi="宋体" w:cs="宋体"/>
                <w:kern w:val="0"/>
              </w:rPr>
              <w:t>（预算支出完成数</w:t>
            </w:r>
            <w:r>
              <w:rPr>
                <w:rFonts w:ascii="宋体" w:hAnsi="宋体" w:cs="宋体"/>
                <w:kern w:val="0"/>
              </w:rPr>
              <w:t>/</w:t>
            </w:r>
            <w:r>
              <w:rPr>
                <w:rFonts w:hint="eastAsia" w:ascii="宋体" w:hAnsi="宋体" w:cs="宋体"/>
                <w:kern w:val="0"/>
              </w:rPr>
              <w:t>支出预算数）</w:t>
            </w:r>
            <w:r>
              <w:rPr>
                <w:rFonts w:ascii="宋体" w:hAnsi="宋体" w:cs="宋体"/>
                <w:kern w:val="0"/>
              </w:rPr>
              <w:t>*100%</w:t>
            </w:r>
          </w:p>
        </w:tc>
        <w:tc>
          <w:tcPr>
            <w:tcW w:w="1040" w:type="dxa"/>
            <w:tcBorders>
              <w:top w:val="nil"/>
              <w:left w:val="nil"/>
              <w:bottom w:val="single" w:color="auto" w:sz="4" w:space="0"/>
              <w:right w:val="single" w:color="auto" w:sz="4" w:space="0"/>
            </w:tcBorders>
            <w:vAlign w:val="center"/>
          </w:tcPr>
          <w:p>
            <w:pPr>
              <w:widowControl/>
              <w:spacing w:line="240" w:lineRule="exact"/>
              <w:jc w:val="left"/>
              <w:rPr>
                <w:rFonts w:ascii="宋体" w:cs="宋体"/>
                <w:color w:val="FF0000"/>
                <w:kern w:val="0"/>
                <w:szCs w:val="21"/>
              </w:rPr>
            </w:pPr>
            <w:r>
              <w:rPr>
                <w:rFonts w:ascii="宋体" w:hAnsi="宋体" w:cs="宋体"/>
                <w:kern w:val="0"/>
              </w:rPr>
              <w:t xml:space="preserve"> 108%</w:t>
            </w:r>
          </w:p>
          <w:p>
            <w:pPr>
              <w:spacing w:line="240" w:lineRule="exact"/>
              <w:jc w:val="left"/>
              <w:rPr>
                <w:rFonts w:ascii="宋体" w:cs="宋体"/>
                <w:kern w:val="0"/>
                <w:szCs w:val="21"/>
              </w:rPr>
            </w:pPr>
            <w:r>
              <w:rPr>
                <w:rFonts w:hint="eastAsia" w:ascii="宋体" w:hAnsi="宋体" w:cs="宋体"/>
                <w:kern w:val="0"/>
              </w:rPr>
              <w:t>　</w:t>
            </w:r>
          </w:p>
        </w:tc>
        <w:tc>
          <w:tcPr>
            <w:tcW w:w="94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15</w:t>
            </w:r>
          </w:p>
          <w:p>
            <w:pPr>
              <w:spacing w:line="240" w:lineRule="exact"/>
              <w:jc w:val="left"/>
              <w:rPr>
                <w:rFonts w:ascii="宋体" w:cs="宋体"/>
                <w:kern w:val="0"/>
                <w:szCs w:val="21"/>
              </w:rPr>
            </w:pPr>
            <w:r>
              <w:rPr>
                <w:rFonts w:hint="eastAsia" w:ascii="宋体" w:hAnsi="宋体" w:cs="宋体"/>
                <w:kern w:val="0"/>
              </w:rPr>
              <w:t>　</w:t>
            </w:r>
          </w:p>
        </w:tc>
        <w:tc>
          <w:tcPr>
            <w:tcW w:w="7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15</w:t>
            </w:r>
          </w:p>
          <w:p>
            <w:pPr>
              <w:spacing w:line="240" w:lineRule="exact"/>
              <w:jc w:val="left"/>
              <w:rPr>
                <w:rFonts w:ascii="宋体" w:cs="宋体"/>
                <w:kern w:val="0"/>
                <w:szCs w:val="21"/>
              </w:rPr>
            </w:pPr>
            <w:r>
              <w:rPr>
                <w:rFonts w:hint="eastAsia" w:ascii="宋体" w:hAnsi="宋体" w:cs="宋体"/>
                <w:kern w:val="0"/>
              </w:rPr>
              <w:t>　</w:t>
            </w:r>
          </w:p>
        </w:tc>
        <w:tc>
          <w:tcPr>
            <w:tcW w:w="1061"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　</w:t>
            </w:r>
          </w:p>
          <w:p>
            <w:pPr>
              <w:spacing w:line="240" w:lineRule="exact"/>
              <w:jc w:val="left"/>
              <w:rPr>
                <w:rFonts w:ascii="宋体" w:cs="宋体"/>
                <w:kern w:val="0"/>
                <w:szCs w:val="21"/>
              </w:rPr>
            </w:pPr>
            <w:r>
              <w:rPr>
                <w:rFonts w:hint="eastAsia" w:ascii="宋体" w:hAnsi="宋体" w:cs="宋体"/>
                <w:kern w:val="0"/>
              </w:rPr>
              <w:t>　</w:t>
            </w:r>
          </w:p>
        </w:tc>
      </w:tr>
      <w:tr>
        <w:tblPrEx>
          <w:tblCellMar>
            <w:top w:w="0" w:type="dxa"/>
            <w:left w:w="108" w:type="dxa"/>
            <w:bottom w:w="0" w:type="dxa"/>
            <w:right w:w="108" w:type="dxa"/>
          </w:tblCellMar>
        </w:tblPrEx>
        <w:trPr>
          <w:trHeight w:val="595" w:hRule="atLeast"/>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0" w:type="auto"/>
            <w:vMerge w:val="continue"/>
            <w:tcBorders>
              <w:top w:val="nil"/>
              <w:left w:val="nil"/>
              <w:bottom w:val="nil"/>
              <w:right w:val="single" w:color="auto" w:sz="4" w:space="0"/>
            </w:tcBorders>
            <w:vAlign w:val="center"/>
          </w:tcPr>
          <w:p>
            <w:pPr>
              <w:widowControl/>
              <w:jc w:val="left"/>
              <w:rPr>
                <w:rFonts w:ascii="宋体" w:cs="宋体"/>
                <w:kern w:val="0"/>
                <w:szCs w:val="21"/>
              </w:rPr>
            </w:pPr>
          </w:p>
        </w:tc>
        <w:tc>
          <w:tcPr>
            <w:tcW w:w="945" w:type="dxa"/>
            <w:tcBorders>
              <w:top w:val="single" w:color="auto" w:sz="4" w:space="0"/>
              <w:left w:val="nil"/>
              <w:bottom w:val="nil"/>
              <w:right w:val="single" w:color="auto" w:sz="4" w:space="0"/>
            </w:tcBorders>
            <w:vAlign w:val="center"/>
          </w:tcPr>
          <w:p>
            <w:pPr>
              <w:spacing w:line="240" w:lineRule="exact"/>
              <w:jc w:val="center"/>
              <w:rPr>
                <w:rFonts w:ascii="宋体" w:cs="宋体"/>
                <w:kern w:val="0"/>
                <w:szCs w:val="21"/>
              </w:rPr>
            </w:pPr>
            <w:r>
              <w:rPr>
                <w:rFonts w:hint="eastAsia" w:ascii="宋体" w:hAnsi="宋体" w:cs="宋体"/>
                <w:kern w:val="0"/>
              </w:rPr>
              <w:t>质量指标</w:t>
            </w:r>
          </w:p>
        </w:tc>
        <w:tc>
          <w:tcPr>
            <w:tcW w:w="1347" w:type="dxa"/>
            <w:gridSpan w:val="2"/>
            <w:tcBorders>
              <w:top w:val="single" w:color="auto" w:sz="4" w:space="0"/>
              <w:left w:val="nil"/>
              <w:bottom w:val="nil"/>
              <w:right w:val="single" w:color="auto" w:sz="4" w:space="0"/>
            </w:tcBorders>
            <w:vAlign w:val="center"/>
          </w:tcPr>
          <w:p>
            <w:pPr>
              <w:spacing w:line="240" w:lineRule="exact"/>
              <w:jc w:val="left"/>
              <w:rPr>
                <w:rFonts w:ascii="宋体" w:cs="宋体"/>
                <w:kern w:val="0"/>
                <w:szCs w:val="21"/>
              </w:rPr>
            </w:pPr>
            <w:r>
              <w:rPr>
                <w:rFonts w:hint="eastAsia" w:ascii="宋体" w:hAnsi="宋体" w:cs="宋体"/>
                <w:kern w:val="0"/>
              </w:rPr>
              <w:t>资金使用合规性</w:t>
            </w:r>
          </w:p>
        </w:tc>
        <w:tc>
          <w:tcPr>
            <w:tcW w:w="1838" w:type="dxa"/>
            <w:tcBorders>
              <w:top w:val="single" w:color="auto" w:sz="4" w:space="0"/>
              <w:left w:val="nil"/>
              <w:bottom w:val="single" w:color="auto" w:sz="4" w:space="0"/>
              <w:right w:val="single" w:color="auto" w:sz="4" w:space="0"/>
            </w:tcBorders>
            <w:vAlign w:val="center"/>
          </w:tcPr>
          <w:p>
            <w:pPr>
              <w:spacing w:line="240" w:lineRule="exact"/>
              <w:jc w:val="left"/>
              <w:rPr>
                <w:rFonts w:ascii="宋体" w:cs="宋体"/>
                <w:kern w:val="0"/>
                <w:szCs w:val="21"/>
              </w:rPr>
            </w:pPr>
            <w:r>
              <w:rPr>
                <w:rFonts w:hint="eastAsia" w:ascii="宋体" w:hAnsi="宋体" w:cs="宋体"/>
                <w:kern w:val="0"/>
              </w:rPr>
              <w:t>规范使用资金</w:t>
            </w:r>
          </w:p>
        </w:tc>
        <w:tc>
          <w:tcPr>
            <w:tcW w:w="10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cs="宋体"/>
                <w:kern w:val="0"/>
                <w:szCs w:val="21"/>
              </w:rPr>
            </w:pPr>
            <w:r>
              <w:rPr>
                <w:rFonts w:ascii="宋体" w:hAnsi="宋体" w:cs="宋体"/>
                <w:kern w:val="0"/>
              </w:rPr>
              <w:t>100%</w:t>
            </w:r>
          </w:p>
        </w:tc>
        <w:tc>
          <w:tcPr>
            <w:tcW w:w="9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cs="宋体"/>
                <w:kern w:val="0"/>
                <w:szCs w:val="21"/>
              </w:rPr>
            </w:pPr>
            <w:r>
              <w:rPr>
                <w:rFonts w:ascii="宋体" w:hAnsi="宋体" w:cs="宋体"/>
                <w:kern w:val="0"/>
              </w:rPr>
              <w:t>10</w:t>
            </w:r>
          </w:p>
        </w:tc>
        <w:tc>
          <w:tcPr>
            <w:tcW w:w="7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cs="宋体"/>
                <w:kern w:val="0"/>
                <w:szCs w:val="21"/>
              </w:rPr>
            </w:pPr>
            <w:r>
              <w:rPr>
                <w:rFonts w:ascii="宋体" w:hAnsi="宋体" w:cs="宋体"/>
                <w:kern w:val="0"/>
              </w:rPr>
              <w:t>10</w:t>
            </w:r>
          </w:p>
        </w:tc>
        <w:tc>
          <w:tcPr>
            <w:tcW w:w="1061" w:type="dxa"/>
            <w:tcBorders>
              <w:top w:val="single" w:color="auto" w:sz="4" w:space="0"/>
              <w:left w:val="nil"/>
              <w:bottom w:val="single" w:color="auto" w:sz="4" w:space="0"/>
              <w:right w:val="single" w:color="auto" w:sz="4" w:space="0"/>
            </w:tcBorders>
            <w:vAlign w:val="center"/>
          </w:tcPr>
          <w:p>
            <w:pPr>
              <w:spacing w:line="240" w:lineRule="exact"/>
              <w:jc w:val="left"/>
              <w:rPr>
                <w:rFonts w:ascii="宋体" w:cs="宋体"/>
                <w:kern w:val="0"/>
                <w:szCs w:val="21"/>
              </w:rPr>
            </w:pPr>
            <w:r>
              <w:rPr>
                <w:rFonts w:hint="eastAsia" w:ascii="宋体" w:hAnsi="宋体" w:cs="宋体"/>
                <w:kern w:val="0"/>
              </w:rPr>
              <w:t>　</w:t>
            </w:r>
          </w:p>
        </w:tc>
      </w:tr>
      <w:tr>
        <w:tblPrEx>
          <w:tblCellMar>
            <w:top w:w="0" w:type="dxa"/>
            <w:left w:w="108" w:type="dxa"/>
            <w:bottom w:w="0" w:type="dxa"/>
            <w:right w:w="108" w:type="dxa"/>
          </w:tblCellMar>
        </w:tblPrEx>
        <w:trPr>
          <w:trHeight w:val="649" w:hRule="atLeast"/>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0" w:type="auto"/>
            <w:vMerge w:val="continue"/>
            <w:tcBorders>
              <w:top w:val="nil"/>
              <w:left w:val="nil"/>
              <w:bottom w:val="nil"/>
              <w:right w:val="single" w:color="auto" w:sz="4" w:space="0"/>
            </w:tcBorders>
            <w:vAlign w:val="center"/>
          </w:tcPr>
          <w:p>
            <w:pPr>
              <w:widowControl/>
              <w:jc w:val="left"/>
              <w:rPr>
                <w:rFonts w:ascii="宋体" w:cs="宋体"/>
                <w:kern w:val="0"/>
                <w:szCs w:val="21"/>
              </w:rPr>
            </w:pPr>
          </w:p>
        </w:tc>
        <w:tc>
          <w:tcPr>
            <w:tcW w:w="94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cs="宋体"/>
                <w:kern w:val="0"/>
                <w:szCs w:val="21"/>
              </w:rPr>
            </w:pPr>
            <w:r>
              <w:rPr>
                <w:rFonts w:hint="eastAsia" w:ascii="宋体" w:hAnsi="宋体" w:cs="宋体"/>
                <w:kern w:val="0"/>
              </w:rPr>
              <w:t>时效指标</w:t>
            </w:r>
          </w:p>
        </w:tc>
        <w:tc>
          <w:tcPr>
            <w:tcW w:w="1347"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cs="宋体"/>
                <w:kern w:val="0"/>
                <w:szCs w:val="21"/>
              </w:rPr>
            </w:pPr>
            <w:r>
              <w:rPr>
                <w:rFonts w:hint="eastAsia" w:ascii="宋体" w:hAnsi="宋体" w:cs="宋体"/>
                <w:kern w:val="0"/>
              </w:rPr>
              <w:t>预决算信息公开性</w:t>
            </w:r>
          </w:p>
        </w:tc>
        <w:tc>
          <w:tcPr>
            <w:tcW w:w="183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依法依规公开相关信息</w:t>
            </w:r>
          </w:p>
        </w:tc>
        <w:tc>
          <w:tcPr>
            <w:tcW w:w="10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100%</w:t>
            </w:r>
          </w:p>
        </w:tc>
        <w:tc>
          <w:tcPr>
            <w:tcW w:w="9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　</w:t>
            </w:r>
            <w:r>
              <w:rPr>
                <w:rFonts w:ascii="宋体" w:cs="宋体"/>
                <w:kern w:val="0"/>
              </w:rPr>
              <w:t> </w:t>
            </w:r>
            <w:r>
              <w:rPr>
                <w:rFonts w:ascii="宋体" w:hAnsi="宋体" w:cs="宋体"/>
                <w:kern w:val="0"/>
              </w:rPr>
              <w:t>5</w:t>
            </w:r>
          </w:p>
        </w:tc>
        <w:tc>
          <w:tcPr>
            <w:tcW w:w="78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5</w:t>
            </w:r>
          </w:p>
        </w:tc>
        <w:tc>
          <w:tcPr>
            <w:tcW w:w="106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　</w:t>
            </w:r>
          </w:p>
        </w:tc>
      </w:tr>
      <w:tr>
        <w:tblPrEx>
          <w:tblCellMar>
            <w:top w:w="0" w:type="dxa"/>
            <w:left w:w="108" w:type="dxa"/>
            <w:bottom w:w="0" w:type="dxa"/>
            <w:right w:w="108" w:type="dxa"/>
          </w:tblCellMar>
        </w:tblPrEx>
        <w:trPr>
          <w:trHeight w:val="503" w:hRule="atLeast"/>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0" w:type="auto"/>
            <w:vMerge w:val="continue"/>
            <w:tcBorders>
              <w:top w:val="nil"/>
              <w:left w:val="nil"/>
              <w:bottom w:val="nil"/>
              <w:right w:val="single" w:color="auto" w:sz="4" w:space="0"/>
            </w:tcBorders>
            <w:vAlign w:val="center"/>
          </w:tcPr>
          <w:p>
            <w:pPr>
              <w:widowControl/>
              <w:jc w:val="left"/>
              <w:rPr>
                <w:rFonts w:ascii="宋体" w:cs="宋体"/>
                <w:kern w:val="0"/>
                <w:szCs w:val="21"/>
              </w:rPr>
            </w:pPr>
          </w:p>
        </w:tc>
        <w:tc>
          <w:tcPr>
            <w:tcW w:w="94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cs="宋体"/>
                <w:kern w:val="0"/>
                <w:szCs w:val="21"/>
              </w:rPr>
            </w:pPr>
            <w:r>
              <w:rPr>
                <w:rFonts w:hint="eastAsia" w:ascii="宋体" w:hAnsi="宋体" w:cs="宋体"/>
                <w:kern w:val="0"/>
              </w:rPr>
              <w:t>成本指标</w:t>
            </w:r>
          </w:p>
        </w:tc>
        <w:tc>
          <w:tcPr>
            <w:tcW w:w="134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各项业务经费不超出预算</w:t>
            </w:r>
          </w:p>
        </w:tc>
        <w:tc>
          <w:tcPr>
            <w:tcW w:w="18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rPr>
              <w:t>100%</w:t>
            </w:r>
          </w:p>
        </w:tc>
        <w:tc>
          <w:tcPr>
            <w:tcW w:w="10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100%</w:t>
            </w:r>
          </w:p>
        </w:tc>
        <w:tc>
          <w:tcPr>
            <w:tcW w:w="9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　</w:t>
            </w:r>
            <w:r>
              <w:rPr>
                <w:rFonts w:ascii="宋体" w:cs="宋体"/>
                <w:kern w:val="0"/>
              </w:rPr>
              <w:t> </w:t>
            </w:r>
            <w:r>
              <w:rPr>
                <w:rFonts w:ascii="宋体" w:hAnsi="宋体" w:cs="宋体"/>
                <w:kern w:val="0"/>
              </w:rPr>
              <w:t>5</w:t>
            </w:r>
          </w:p>
        </w:tc>
        <w:tc>
          <w:tcPr>
            <w:tcW w:w="78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　</w:t>
            </w:r>
            <w:r>
              <w:rPr>
                <w:rFonts w:ascii="宋体" w:hAnsi="宋体" w:cs="宋体"/>
                <w:kern w:val="0"/>
              </w:rPr>
              <w:t>5</w:t>
            </w:r>
          </w:p>
        </w:tc>
        <w:tc>
          <w:tcPr>
            <w:tcW w:w="1061" w:type="dxa"/>
            <w:tcBorders>
              <w:top w:val="single" w:color="auto" w:sz="4" w:space="0"/>
              <w:left w:val="nil"/>
              <w:bottom w:val="single" w:color="auto" w:sz="4" w:space="0"/>
              <w:right w:val="single" w:color="auto" w:sz="4" w:space="0"/>
            </w:tcBorders>
            <w:vAlign w:val="center"/>
          </w:tcPr>
          <w:p>
            <w:pPr>
              <w:spacing w:line="240" w:lineRule="exact"/>
              <w:jc w:val="left"/>
              <w:rPr>
                <w:rFonts w:ascii="宋体" w:cs="宋体"/>
                <w:kern w:val="0"/>
                <w:szCs w:val="21"/>
              </w:rPr>
            </w:pPr>
          </w:p>
        </w:tc>
      </w:tr>
      <w:tr>
        <w:tblPrEx>
          <w:tblCellMar>
            <w:top w:w="0" w:type="dxa"/>
            <w:left w:w="108" w:type="dxa"/>
            <w:bottom w:w="0" w:type="dxa"/>
            <w:right w:w="108" w:type="dxa"/>
          </w:tblCellMar>
        </w:tblPrEx>
        <w:trPr>
          <w:trHeight w:val="480" w:hRule="atLeast"/>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1073" w:type="dxa"/>
            <w:vMerge w:val="restart"/>
            <w:tcBorders>
              <w:top w:val="nil"/>
              <w:left w:val="nil"/>
              <w:bottom w:val="nil"/>
              <w:right w:val="single" w:color="auto" w:sz="4" w:space="0"/>
            </w:tcBorders>
            <w:vAlign w:val="center"/>
          </w:tcPr>
          <w:p>
            <w:pPr>
              <w:spacing w:line="240" w:lineRule="exact"/>
              <w:jc w:val="center"/>
              <w:rPr>
                <w:rFonts w:ascii="宋体" w:cs="宋体"/>
                <w:kern w:val="0"/>
                <w:szCs w:val="21"/>
              </w:rPr>
            </w:pPr>
            <w:r>
              <w:rPr>
                <w:rFonts w:hint="eastAsia" w:ascii="宋体" w:hAnsi="宋体" w:cs="宋体"/>
                <w:kern w:val="0"/>
              </w:rPr>
              <w:t>效益指标（</w:t>
            </w:r>
            <w:r>
              <w:rPr>
                <w:rFonts w:ascii="宋体" w:hAnsi="宋体" w:cs="宋体"/>
                <w:kern w:val="0"/>
              </w:rPr>
              <w:t>30</w:t>
            </w:r>
            <w:r>
              <w:rPr>
                <w:rFonts w:hint="eastAsia" w:ascii="宋体" w:hAnsi="宋体" w:cs="宋体"/>
                <w:kern w:val="0"/>
              </w:rPr>
              <w:t>分）</w:t>
            </w:r>
          </w:p>
        </w:tc>
        <w:tc>
          <w:tcPr>
            <w:tcW w:w="94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cs="宋体"/>
                <w:kern w:val="0"/>
                <w:szCs w:val="21"/>
              </w:rPr>
            </w:pPr>
            <w:r>
              <w:rPr>
                <w:rFonts w:hint="eastAsia" w:ascii="宋体" w:hAnsi="宋体" w:cs="宋体"/>
                <w:kern w:val="0"/>
              </w:rPr>
              <w:t>经济效益指标</w:t>
            </w:r>
          </w:p>
        </w:tc>
        <w:tc>
          <w:tcPr>
            <w:tcW w:w="1347"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cs="宋体"/>
                <w:kern w:val="0"/>
                <w:szCs w:val="21"/>
              </w:rPr>
            </w:pPr>
            <w:r>
              <w:rPr>
                <w:rFonts w:hint="eastAsia" w:ascii="宋体" w:hAnsi="宋体" w:cs="宋体"/>
                <w:kern w:val="0"/>
              </w:rPr>
              <w:t>地质主业</w:t>
            </w:r>
          </w:p>
        </w:tc>
        <w:tc>
          <w:tcPr>
            <w:tcW w:w="183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发展态势良好</w:t>
            </w:r>
          </w:p>
        </w:tc>
        <w:tc>
          <w:tcPr>
            <w:tcW w:w="10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100%</w:t>
            </w:r>
          </w:p>
        </w:tc>
        <w:tc>
          <w:tcPr>
            <w:tcW w:w="9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10</w:t>
            </w:r>
          </w:p>
        </w:tc>
        <w:tc>
          <w:tcPr>
            <w:tcW w:w="78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10</w:t>
            </w:r>
          </w:p>
        </w:tc>
        <w:tc>
          <w:tcPr>
            <w:tcW w:w="106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0" w:type="auto"/>
            <w:vMerge w:val="continue"/>
            <w:tcBorders>
              <w:top w:val="nil"/>
              <w:left w:val="nil"/>
              <w:bottom w:val="nil"/>
              <w:right w:val="single" w:color="auto" w:sz="4" w:space="0"/>
            </w:tcBorders>
            <w:vAlign w:val="center"/>
          </w:tcPr>
          <w:p>
            <w:pPr>
              <w:widowControl/>
              <w:jc w:val="left"/>
              <w:rPr>
                <w:rFonts w:ascii="宋体" w:cs="宋体"/>
                <w:kern w:val="0"/>
                <w:szCs w:val="21"/>
              </w:rPr>
            </w:pPr>
          </w:p>
        </w:tc>
        <w:tc>
          <w:tcPr>
            <w:tcW w:w="9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社会效</w:t>
            </w:r>
          </w:p>
          <w:p>
            <w:pPr>
              <w:widowControl/>
              <w:spacing w:line="240" w:lineRule="exact"/>
              <w:jc w:val="center"/>
              <w:rPr>
                <w:rFonts w:ascii="宋体" w:cs="宋体"/>
                <w:kern w:val="0"/>
                <w:szCs w:val="21"/>
              </w:rPr>
            </w:pPr>
            <w:r>
              <w:rPr>
                <w:rFonts w:hint="eastAsia" w:ascii="宋体" w:hAnsi="宋体" w:cs="宋体"/>
                <w:kern w:val="0"/>
              </w:rPr>
              <w:t>益指标</w:t>
            </w:r>
          </w:p>
        </w:tc>
        <w:tc>
          <w:tcPr>
            <w:tcW w:w="134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确保民生</w:t>
            </w:r>
          </w:p>
        </w:tc>
        <w:tc>
          <w:tcPr>
            <w:tcW w:w="183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保持队伍稳定</w:t>
            </w:r>
          </w:p>
        </w:tc>
        <w:tc>
          <w:tcPr>
            <w:tcW w:w="10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100%</w:t>
            </w:r>
          </w:p>
        </w:tc>
        <w:tc>
          <w:tcPr>
            <w:tcW w:w="9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10</w:t>
            </w:r>
          </w:p>
        </w:tc>
        <w:tc>
          <w:tcPr>
            <w:tcW w:w="78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10</w:t>
            </w:r>
          </w:p>
        </w:tc>
        <w:tc>
          <w:tcPr>
            <w:tcW w:w="106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　</w:t>
            </w: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0" w:type="auto"/>
            <w:vMerge w:val="continue"/>
            <w:tcBorders>
              <w:top w:val="nil"/>
              <w:left w:val="nil"/>
              <w:bottom w:val="nil"/>
              <w:right w:val="single" w:color="auto" w:sz="4" w:space="0"/>
            </w:tcBorders>
            <w:vAlign w:val="center"/>
          </w:tcPr>
          <w:p>
            <w:pPr>
              <w:widowControl/>
              <w:jc w:val="left"/>
              <w:rPr>
                <w:rFonts w:ascii="宋体" w:cs="宋体"/>
                <w:kern w:val="0"/>
                <w:szCs w:val="21"/>
              </w:rPr>
            </w:pPr>
          </w:p>
        </w:tc>
        <w:tc>
          <w:tcPr>
            <w:tcW w:w="9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生态效</w:t>
            </w:r>
          </w:p>
          <w:p>
            <w:pPr>
              <w:widowControl/>
              <w:spacing w:line="240" w:lineRule="exact"/>
              <w:jc w:val="center"/>
              <w:rPr>
                <w:rFonts w:ascii="宋体" w:cs="宋体"/>
                <w:kern w:val="0"/>
                <w:szCs w:val="21"/>
              </w:rPr>
            </w:pPr>
            <w:r>
              <w:rPr>
                <w:rFonts w:hint="eastAsia" w:ascii="宋体" w:hAnsi="宋体" w:cs="宋体"/>
                <w:kern w:val="0"/>
              </w:rPr>
              <w:t>益指标</w:t>
            </w:r>
          </w:p>
        </w:tc>
        <w:tc>
          <w:tcPr>
            <w:tcW w:w="1347"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环境保护</w:t>
            </w:r>
          </w:p>
        </w:tc>
        <w:tc>
          <w:tcPr>
            <w:tcW w:w="1838"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效果较好</w:t>
            </w:r>
          </w:p>
        </w:tc>
        <w:tc>
          <w:tcPr>
            <w:tcW w:w="104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100%</w:t>
            </w:r>
          </w:p>
        </w:tc>
        <w:tc>
          <w:tcPr>
            <w:tcW w:w="94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10</w:t>
            </w:r>
          </w:p>
        </w:tc>
        <w:tc>
          <w:tcPr>
            <w:tcW w:w="7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10</w:t>
            </w:r>
          </w:p>
        </w:tc>
        <w:tc>
          <w:tcPr>
            <w:tcW w:w="1061"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jc w:val="center"/>
        </w:trPr>
        <w:tc>
          <w:tcPr>
            <w:tcW w:w="1072" w:type="dxa"/>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绩</w:t>
            </w:r>
          </w:p>
          <w:p>
            <w:pPr>
              <w:widowControl/>
              <w:spacing w:line="240" w:lineRule="exact"/>
              <w:jc w:val="center"/>
              <w:rPr>
                <w:rFonts w:ascii="宋体" w:cs="宋体"/>
                <w:kern w:val="0"/>
              </w:rPr>
            </w:pPr>
            <w:r>
              <w:rPr>
                <w:rFonts w:hint="eastAsia" w:ascii="宋体" w:hAnsi="宋体" w:cs="宋体"/>
                <w:kern w:val="0"/>
              </w:rPr>
              <w:t>效</w:t>
            </w:r>
          </w:p>
          <w:p>
            <w:pPr>
              <w:widowControl/>
              <w:spacing w:line="240" w:lineRule="exact"/>
              <w:jc w:val="center"/>
              <w:rPr>
                <w:rFonts w:ascii="宋体" w:cs="宋体"/>
                <w:kern w:val="0"/>
              </w:rPr>
            </w:pPr>
            <w:r>
              <w:rPr>
                <w:rFonts w:hint="eastAsia" w:ascii="宋体" w:hAnsi="宋体" w:cs="宋体"/>
                <w:kern w:val="0"/>
              </w:rPr>
              <w:t>指</w:t>
            </w:r>
          </w:p>
          <w:p>
            <w:pPr>
              <w:widowControl/>
              <w:spacing w:line="240" w:lineRule="exact"/>
              <w:jc w:val="center"/>
              <w:rPr>
                <w:rFonts w:ascii="宋体" w:cs="宋体"/>
                <w:kern w:val="0"/>
                <w:szCs w:val="21"/>
              </w:rPr>
            </w:pPr>
            <w:r>
              <w:rPr>
                <w:rFonts w:hint="eastAsia" w:ascii="宋体" w:hAnsi="宋体" w:cs="宋体"/>
                <w:kern w:val="0"/>
              </w:rPr>
              <w:t>标</w:t>
            </w:r>
          </w:p>
        </w:tc>
        <w:tc>
          <w:tcPr>
            <w:tcW w:w="1073" w:type="dxa"/>
            <w:vMerge w:val="restart"/>
            <w:tcBorders>
              <w:top w:val="single" w:color="auto" w:sz="4" w:space="0"/>
              <w:left w:val="nil"/>
              <w:bottom w:val="nil"/>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rPr>
              <w:t>满意度</w:t>
            </w:r>
          </w:p>
          <w:p>
            <w:pPr>
              <w:widowControl/>
              <w:spacing w:line="240" w:lineRule="exact"/>
              <w:jc w:val="center"/>
              <w:rPr>
                <w:rFonts w:ascii="宋体" w:cs="宋体"/>
                <w:kern w:val="0"/>
              </w:rPr>
            </w:pPr>
            <w:r>
              <w:rPr>
                <w:rFonts w:hint="eastAsia" w:ascii="宋体" w:hAnsi="宋体" w:cs="宋体"/>
                <w:kern w:val="0"/>
              </w:rPr>
              <w:t>指标</w:t>
            </w:r>
          </w:p>
          <w:p>
            <w:pPr>
              <w:widowControl/>
              <w:spacing w:line="240" w:lineRule="exact"/>
              <w:jc w:val="left"/>
              <w:rPr>
                <w:rFonts w:ascii="宋体" w:cs="宋体"/>
                <w:kern w:val="0"/>
                <w:szCs w:val="21"/>
              </w:rPr>
            </w:pPr>
            <w:r>
              <w:rPr>
                <w:rFonts w:hint="eastAsia" w:ascii="宋体" w:hAnsi="宋体" w:cs="宋体"/>
                <w:kern w:val="0"/>
              </w:rPr>
              <w:t>（</w:t>
            </w:r>
            <w:r>
              <w:rPr>
                <w:rFonts w:ascii="宋体" w:hAnsi="宋体" w:cs="宋体"/>
                <w:kern w:val="0"/>
              </w:rPr>
              <w:t>10</w:t>
            </w:r>
            <w:r>
              <w:rPr>
                <w:rFonts w:hint="eastAsia" w:ascii="宋体" w:hAnsi="宋体" w:cs="宋体"/>
                <w:kern w:val="0"/>
              </w:rPr>
              <w:t>分）</w:t>
            </w:r>
          </w:p>
        </w:tc>
        <w:tc>
          <w:tcPr>
            <w:tcW w:w="9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可持续影响指标</w:t>
            </w:r>
          </w:p>
        </w:tc>
        <w:tc>
          <w:tcPr>
            <w:tcW w:w="134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持续发展主业</w:t>
            </w:r>
          </w:p>
        </w:tc>
        <w:tc>
          <w:tcPr>
            <w:tcW w:w="183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发展态势良好</w:t>
            </w:r>
          </w:p>
        </w:tc>
        <w:tc>
          <w:tcPr>
            <w:tcW w:w="10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100%</w:t>
            </w:r>
          </w:p>
        </w:tc>
        <w:tc>
          <w:tcPr>
            <w:tcW w:w="9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5</w:t>
            </w:r>
          </w:p>
        </w:tc>
        <w:tc>
          <w:tcPr>
            <w:tcW w:w="784"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5</w:t>
            </w:r>
          </w:p>
        </w:tc>
        <w:tc>
          <w:tcPr>
            <w:tcW w:w="106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jc w:val="center"/>
        </w:trPr>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kern w:val="0"/>
                <w:szCs w:val="21"/>
              </w:rPr>
            </w:pPr>
          </w:p>
        </w:tc>
        <w:tc>
          <w:tcPr>
            <w:tcW w:w="0" w:type="auto"/>
            <w:vMerge w:val="continue"/>
            <w:tcBorders>
              <w:top w:val="single" w:color="auto" w:sz="4" w:space="0"/>
              <w:left w:val="nil"/>
              <w:bottom w:val="nil"/>
              <w:right w:val="single" w:color="auto" w:sz="4" w:space="0"/>
            </w:tcBorders>
            <w:vAlign w:val="center"/>
          </w:tcPr>
          <w:p>
            <w:pPr>
              <w:widowControl/>
              <w:jc w:val="left"/>
              <w:rPr>
                <w:rFonts w:ascii="宋体" w:cs="宋体"/>
                <w:kern w:val="0"/>
                <w:szCs w:val="21"/>
              </w:rPr>
            </w:pPr>
          </w:p>
        </w:tc>
        <w:tc>
          <w:tcPr>
            <w:tcW w:w="9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rPr>
              <w:t>服务对象满意度指标</w:t>
            </w:r>
          </w:p>
        </w:tc>
        <w:tc>
          <w:tcPr>
            <w:tcW w:w="1347"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服务基层</w:t>
            </w:r>
          </w:p>
        </w:tc>
        <w:tc>
          <w:tcPr>
            <w:tcW w:w="1838"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效果较好</w:t>
            </w:r>
          </w:p>
        </w:tc>
        <w:tc>
          <w:tcPr>
            <w:tcW w:w="104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100%</w:t>
            </w:r>
          </w:p>
        </w:tc>
        <w:tc>
          <w:tcPr>
            <w:tcW w:w="94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5</w:t>
            </w:r>
          </w:p>
        </w:tc>
        <w:tc>
          <w:tcPr>
            <w:tcW w:w="7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rPr>
              <w:t xml:space="preserve"> 5</w:t>
            </w:r>
          </w:p>
        </w:tc>
        <w:tc>
          <w:tcPr>
            <w:tcW w:w="1061"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　</w:t>
            </w:r>
          </w:p>
        </w:tc>
      </w:tr>
      <w:tr>
        <w:tblPrEx>
          <w:tblCellMar>
            <w:top w:w="0" w:type="dxa"/>
            <w:left w:w="108" w:type="dxa"/>
            <w:bottom w:w="0" w:type="dxa"/>
            <w:right w:w="108" w:type="dxa"/>
          </w:tblCellMar>
        </w:tblPrEx>
        <w:trPr>
          <w:trHeight w:val="505" w:hRule="atLeast"/>
          <w:jc w:val="center"/>
        </w:trPr>
        <w:tc>
          <w:tcPr>
            <w:tcW w:w="7315"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宋体" w:cs="宋体"/>
                <w:kern w:val="0"/>
                <w:szCs w:val="21"/>
              </w:rPr>
            </w:pPr>
            <w:r>
              <w:rPr>
                <w:rFonts w:hint="eastAsia" w:ascii="宋体" w:hAnsi="宋体" w:cs="宋体"/>
                <w:kern w:val="0"/>
              </w:rPr>
              <w:t>总分</w:t>
            </w:r>
          </w:p>
        </w:tc>
        <w:tc>
          <w:tcPr>
            <w:tcW w:w="94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rPr>
              <w:t>100</w:t>
            </w:r>
          </w:p>
        </w:tc>
        <w:tc>
          <w:tcPr>
            <w:tcW w:w="7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　</w:t>
            </w:r>
            <w:r>
              <w:rPr>
                <w:rFonts w:ascii="宋体" w:hAnsi="宋体" w:cs="宋体"/>
                <w:kern w:val="0"/>
              </w:rPr>
              <w:t>99</w:t>
            </w:r>
          </w:p>
        </w:tc>
        <w:tc>
          <w:tcPr>
            <w:tcW w:w="1061"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rPr>
              <w:t>　</w:t>
            </w:r>
          </w:p>
        </w:tc>
      </w:tr>
    </w:tbl>
    <w:p>
      <w:pPr>
        <w:widowControl/>
        <w:spacing w:line="600" w:lineRule="exact"/>
        <w:jc w:val="left"/>
        <w:rPr>
          <w:rFonts w:ascii="宋体"/>
          <w:kern w:val="0"/>
          <w:szCs w:val="21"/>
        </w:rPr>
      </w:pPr>
      <w:r>
        <w:rPr>
          <w:rFonts w:hint="eastAsia" w:ascii="宋体" w:hAnsi="宋体"/>
          <w:kern w:val="0"/>
        </w:rPr>
        <w:t>填表人：李立花</w:t>
      </w:r>
      <w:r>
        <w:rPr>
          <w:rFonts w:hint="eastAsia" w:ascii="宋体" w:hAnsi="宋体"/>
          <w:kern w:val="0"/>
          <w:lang w:val="en-US" w:eastAsia="zh-CN"/>
        </w:rPr>
        <w:t xml:space="preserve">  </w:t>
      </w:r>
      <w:r>
        <w:rPr>
          <w:rFonts w:hint="eastAsia" w:ascii="宋体" w:hAnsi="宋体"/>
          <w:kern w:val="0"/>
        </w:rPr>
        <w:t>填报日期：</w:t>
      </w:r>
      <w:r>
        <w:rPr>
          <w:rFonts w:ascii="宋体" w:hAnsi="宋体"/>
          <w:kern w:val="0"/>
        </w:rPr>
        <w:t xml:space="preserve">2022.04.26  </w:t>
      </w:r>
      <w:r>
        <w:rPr>
          <w:rFonts w:hint="eastAsia" w:ascii="宋体" w:hAnsi="宋体"/>
          <w:kern w:val="0"/>
        </w:rPr>
        <w:t>联系电话：</w:t>
      </w:r>
      <w:r>
        <w:rPr>
          <w:rFonts w:ascii="宋体" w:hAnsi="宋体"/>
          <w:kern w:val="0"/>
        </w:rPr>
        <w:t xml:space="preserve">0734-3173808 </w:t>
      </w:r>
      <w:r>
        <w:rPr>
          <w:rFonts w:hint="eastAsia" w:ascii="宋体" w:hAnsi="宋体"/>
          <w:kern w:val="0"/>
        </w:rPr>
        <w:t>单位负责人签字：肖学敏</w:t>
      </w:r>
    </w:p>
    <w:p>
      <w:pPr>
        <w:jc w:val="left"/>
        <w:rPr>
          <w:rFonts w:ascii="宋体" w:cs="黑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E4777"/>
    <w:multiLevelType w:val="multilevel"/>
    <w:tmpl w:val="31DE4777"/>
    <w:lvl w:ilvl="0" w:tentative="0">
      <w:start w:val="1"/>
      <w:numFmt w:val="chineseCounting"/>
      <w:suff w:val="nothing"/>
      <w:lvlText w:val="%1、"/>
      <w:lvlJc w:val="left"/>
      <w:rPr>
        <w:rFonts w:hint="eastAsia" w:ascii="宋体" w:hAnsi="宋体" w:eastAsia="宋体"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462672C9"/>
    <w:multiLevelType w:val="multilevel"/>
    <w:tmpl w:val="462672C9"/>
    <w:lvl w:ilvl="0" w:tentative="0">
      <w:start w:val="1"/>
      <w:numFmt w:val="japaneseCounting"/>
      <w:lvlText w:val="%1、"/>
      <w:lvlJc w:val="left"/>
      <w:pPr>
        <w:tabs>
          <w:tab w:val="left" w:pos="825"/>
        </w:tabs>
        <w:ind w:left="825" w:hanging="720"/>
      </w:pPr>
      <w:rPr>
        <w:rFonts w:hint="default" w:cs="Times New Roman"/>
      </w:rPr>
    </w:lvl>
    <w:lvl w:ilvl="1" w:tentative="0">
      <w:start w:val="1"/>
      <w:numFmt w:val="lowerLetter"/>
      <w:lvlText w:val="%2)"/>
      <w:lvlJc w:val="left"/>
      <w:pPr>
        <w:tabs>
          <w:tab w:val="left" w:pos="945"/>
        </w:tabs>
        <w:ind w:left="945" w:hanging="420"/>
      </w:pPr>
      <w:rPr>
        <w:rFonts w:cs="Times New Roman"/>
      </w:rPr>
    </w:lvl>
    <w:lvl w:ilvl="2" w:tentative="0">
      <w:start w:val="1"/>
      <w:numFmt w:val="lowerRoman"/>
      <w:lvlText w:val="%3."/>
      <w:lvlJc w:val="right"/>
      <w:pPr>
        <w:tabs>
          <w:tab w:val="left" w:pos="1365"/>
        </w:tabs>
        <w:ind w:left="1365" w:hanging="420"/>
      </w:pPr>
      <w:rPr>
        <w:rFonts w:cs="Times New Roman"/>
      </w:rPr>
    </w:lvl>
    <w:lvl w:ilvl="3" w:tentative="0">
      <w:start w:val="1"/>
      <w:numFmt w:val="decimal"/>
      <w:lvlText w:val="%4."/>
      <w:lvlJc w:val="left"/>
      <w:pPr>
        <w:tabs>
          <w:tab w:val="left" w:pos="1785"/>
        </w:tabs>
        <w:ind w:left="1785" w:hanging="420"/>
      </w:pPr>
      <w:rPr>
        <w:rFonts w:cs="Times New Roman"/>
      </w:rPr>
    </w:lvl>
    <w:lvl w:ilvl="4" w:tentative="0">
      <w:start w:val="1"/>
      <w:numFmt w:val="lowerLetter"/>
      <w:lvlText w:val="%5)"/>
      <w:lvlJc w:val="left"/>
      <w:pPr>
        <w:tabs>
          <w:tab w:val="left" w:pos="2205"/>
        </w:tabs>
        <w:ind w:left="2205" w:hanging="420"/>
      </w:pPr>
      <w:rPr>
        <w:rFonts w:cs="Times New Roman"/>
      </w:rPr>
    </w:lvl>
    <w:lvl w:ilvl="5" w:tentative="0">
      <w:start w:val="1"/>
      <w:numFmt w:val="lowerRoman"/>
      <w:lvlText w:val="%6."/>
      <w:lvlJc w:val="right"/>
      <w:pPr>
        <w:tabs>
          <w:tab w:val="left" w:pos="2625"/>
        </w:tabs>
        <w:ind w:left="2625" w:hanging="420"/>
      </w:pPr>
      <w:rPr>
        <w:rFonts w:cs="Times New Roman"/>
      </w:rPr>
    </w:lvl>
    <w:lvl w:ilvl="6" w:tentative="0">
      <w:start w:val="1"/>
      <w:numFmt w:val="decimal"/>
      <w:lvlText w:val="%7."/>
      <w:lvlJc w:val="left"/>
      <w:pPr>
        <w:tabs>
          <w:tab w:val="left" w:pos="3045"/>
        </w:tabs>
        <w:ind w:left="3045" w:hanging="420"/>
      </w:pPr>
      <w:rPr>
        <w:rFonts w:cs="Times New Roman"/>
      </w:rPr>
    </w:lvl>
    <w:lvl w:ilvl="7" w:tentative="0">
      <w:start w:val="1"/>
      <w:numFmt w:val="lowerLetter"/>
      <w:lvlText w:val="%8)"/>
      <w:lvlJc w:val="left"/>
      <w:pPr>
        <w:tabs>
          <w:tab w:val="left" w:pos="3465"/>
        </w:tabs>
        <w:ind w:left="3465" w:hanging="420"/>
      </w:pPr>
      <w:rPr>
        <w:rFonts w:cs="Times New Roman"/>
      </w:rPr>
    </w:lvl>
    <w:lvl w:ilvl="8" w:tentative="0">
      <w:start w:val="1"/>
      <w:numFmt w:val="lowerRoman"/>
      <w:lvlText w:val="%9."/>
      <w:lvlJc w:val="right"/>
      <w:pPr>
        <w:tabs>
          <w:tab w:val="left" w:pos="3885"/>
        </w:tabs>
        <w:ind w:left="3885" w:hanging="42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3YzM5OGI2ZmZmNGNiZTNkMTkyZGZhYTk5ZjkwYjYifQ=="/>
  </w:docVars>
  <w:rsids>
    <w:rsidRoot w:val="004506F9"/>
    <w:rsid w:val="00014CCA"/>
    <w:rsid w:val="000209C7"/>
    <w:rsid w:val="0002229B"/>
    <w:rsid w:val="000273BD"/>
    <w:rsid w:val="000350BB"/>
    <w:rsid w:val="000415B7"/>
    <w:rsid w:val="00041E3F"/>
    <w:rsid w:val="00055DAA"/>
    <w:rsid w:val="000619EB"/>
    <w:rsid w:val="00061F7B"/>
    <w:rsid w:val="000658A3"/>
    <w:rsid w:val="00074155"/>
    <w:rsid w:val="00083C13"/>
    <w:rsid w:val="000873EF"/>
    <w:rsid w:val="00092853"/>
    <w:rsid w:val="000A3F69"/>
    <w:rsid w:val="000B21DB"/>
    <w:rsid w:val="00103957"/>
    <w:rsid w:val="00124A1F"/>
    <w:rsid w:val="00152C6D"/>
    <w:rsid w:val="00162D39"/>
    <w:rsid w:val="001678BD"/>
    <w:rsid w:val="00173904"/>
    <w:rsid w:val="00182373"/>
    <w:rsid w:val="001A4572"/>
    <w:rsid w:val="001A67DB"/>
    <w:rsid w:val="001C3C29"/>
    <w:rsid w:val="001D51E5"/>
    <w:rsid w:val="001E080D"/>
    <w:rsid w:val="001E53D0"/>
    <w:rsid w:val="001F0C3B"/>
    <w:rsid w:val="00202C14"/>
    <w:rsid w:val="00202C82"/>
    <w:rsid w:val="00214427"/>
    <w:rsid w:val="00226CB7"/>
    <w:rsid w:val="00257EF0"/>
    <w:rsid w:val="00264552"/>
    <w:rsid w:val="00264EF9"/>
    <w:rsid w:val="00265724"/>
    <w:rsid w:val="0027426B"/>
    <w:rsid w:val="002A73AA"/>
    <w:rsid w:val="002E0A30"/>
    <w:rsid w:val="003130C4"/>
    <w:rsid w:val="00316C4B"/>
    <w:rsid w:val="0031730F"/>
    <w:rsid w:val="0032184D"/>
    <w:rsid w:val="0032192B"/>
    <w:rsid w:val="00325A7F"/>
    <w:rsid w:val="00334C3D"/>
    <w:rsid w:val="003479BD"/>
    <w:rsid w:val="0037197D"/>
    <w:rsid w:val="003768D5"/>
    <w:rsid w:val="003C28A1"/>
    <w:rsid w:val="003C4197"/>
    <w:rsid w:val="003C47E6"/>
    <w:rsid w:val="003C4FC2"/>
    <w:rsid w:val="003E2331"/>
    <w:rsid w:val="00406184"/>
    <w:rsid w:val="00416E61"/>
    <w:rsid w:val="0042790C"/>
    <w:rsid w:val="004506F9"/>
    <w:rsid w:val="00451095"/>
    <w:rsid w:val="004717A2"/>
    <w:rsid w:val="00473DF3"/>
    <w:rsid w:val="00487911"/>
    <w:rsid w:val="00491741"/>
    <w:rsid w:val="004B0CEE"/>
    <w:rsid w:val="004B1642"/>
    <w:rsid w:val="004F6A1E"/>
    <w:rsid w:val="00500E5F"/>
    <w:rsid w:val="00507B1D"/>
    <w:rsid w:val="005122EF"/>
    <w:rsid w:val="0051441A"/>
    <w:rsid w:val="00514AE0"/>
    <w:rsid w:val="00517C33"/>
    <w:rsid w:val="00517D5F"/>
    <w:rsid w:val="00521AF2"/>
    <w:rsid w:val="00523644"/>
    <w:rsid w:val="005369CA"/>
    <w:rsid w:val="0054069E"/>
    <w:rsid w:val="00544866"/>
    <w:rsid w:val="005767CC"/>
    <w:rsid w:val="00590D9F"/>
    <w:rsid w:val="00595D26"/>
    <w:rsid w:val="005A74E6"/>
    <w:rsid w:val="005B04F2"/>
    <w:rsid w:val="005B404E"/>
    <w:rsid w:val="005D27A4"/>
    <w:rsid w:val="005D4D55"/>
    <w:rsid w:val="005E2CFB"/>
    <w:rsid w:val="005F2103"/>
    <w:rsid w:val="005F3D1C"/>
    <w:rsid w:val="0062378F"/>
    <w:rsid w:val="00641842"/>
    <w:rsid w:val="00651EEC"/>
    <w:rsid w:val="00667DE7"/>
    <w:rsid w:val="006716E0"/>
    <w:rsid w:val="00675BAE"/>
    <w:rsid w:val="00686673"/>
    <w:rsid w:val="00691E8C"/>
    <w:rsid w:val="006A22C4"/>
    <w:rsid w:val="006A348B"/>
    <w:rsid w:val="006A351B"/>
    <w:rsid w:val="006B0422"/>
    <w:rsid w:val="006B6E07"/>
    <w:rsid w:val="006C1B53"/>
    <w:rsid w:val="006D7730"/>
    <w:rsid w:val="006E5284"/>
    <w:rsid w:val="006F3EB5"/>
    <w:rsid w:val="00702E34"/>
    <w:rsid w:val="00704395"/>
    <w:rsid w:val="00710FE7"/>
    <w:rsid w:val="00717621"/>
    <w:rsid w:val="00720FF1"/>
    <w:rsid w:val="00727A53"/>
    <w:rsid w:val="00733FBE"/>
    <w:rsid w:val="0074159A"/>
    <w:rsid w:val="00787B42"/>
    <w:rsid w:val="007C4539"/>
    <w:rsid w:val="007F3657"/>
    <w:rsid w:val="00812ED5"/>
    <w:rsid w:val="008277D9"/>
    <w:rsid w:val="0084478C"/>
    <w:rsid w:val="00864946"/>
    <w:rsid w:val="0086638C"/>
    <w:rsid w:val="008A3E8D"/>
    <w:rsid w:val="009237C4"/>
    <w:rsid w:val="00944C48"/>
    <w:rsid w:val="009501D0"/>
    <w:rsid w:val="00950252"/>
    <w:rsid w:val="00954F73"/>
    <w:rsid w:val="00966183"/>
    <w:rsid w:val="00967F5D"/>
    <w:rsid w:val="00994F3D"/>
    <w:rsid w:val="009A0F95"/>
    <w:rsid w:val="009B3ADF"/>
    <w:rsid w:val="009C3B52"/>
    <w:rsid w:val="009E4F7F"/>
    <w:rsid w:val="009E6817"/>
    <w:rsid w:val="009E6E9A"/>
    <w:rsid w:val="00A01D2B"/>
    <w:rsid w:val="00A42218"/>
    <w:rsid w:val="00A70249"/>
    <w:rsid w:val="00A70B02"/>
    <w:rsid w:val="00A71D9F"/>
    <w:rsid w:val="00A92E9F"/>
    <w:rsid w:val="00A97DC3"/>
    <w:rsid w:val="00AA2E25"/>
    <w:rsid w:val="00AB0706"/>
    <w:rsid w:val="00B33BEA"/>
    <w:rsid w:val="00B57C9F"/>
    <w:rsid w:val="00B63572"/>
    <w:rsid w:val="00B80BBC"/>
    <w:rsid w:val="00B845B3"/>
    <w:rsid w:val="00B85D8B"/>
    <w:rsid w:val="00BA6141"/>
    <w:rsid w:val="00BB4A40"/>
    <w:rsid w:val="00BD4D72"/>
    <w:rsid w:val="00BD6C3E"/>
    <w:rsid w:val="00BE3674"/>
    <w:rsid w:val="00BF1584"/>
    <w:rsid w:val="00C10681"/>
    <w:rsid w:val="00C209DB"/>
    <w:rsid w:val="00C3049A"/>
    <w:rsid w:val="00C31B1E"/>
    <w:rsid w:val="00C36B92"/>
    <w:rsid w:val="00C42BF0"/>
    <w:rsid w:val="00C77645"/>
    <w:rsid w:val="00CE04C3"/>
    <w:rsid w:val="00CE76A0"/>
    <w:rsid w:val="00CF0A81"/>
    <w:rsid w:val="00D0166C"/>
    <w:rsid w:val="00D018B2"/>
    <w:rsid w:val="00D02396"/>
    <w:rsid w:val="00D148C6"/>
    <w:rsid w:val="00D17A8A"/>
    <w:rsid w:val="00D37BAE"/>
    <w:rsid w:val="00D415BA"/>
    <w:rsid w:val="00D63780"/>
    <w:rsid w:val="00D644EE"/>
    <w:rsid w:val="00D75489"/>
    <w:rsid w:val="00D853BE"/>
    <w:rsid w:val="00DD06FF"/>
    <w:rsid w:val="00DD5FE9"/>
    <w:rsid w:val="00E00C7A"/>
    <w:rsid w:val="00E209CF"/>
    <w:rsid w:val="00E37D6C"/>
    <w:rsid w:val="00E55B68"/>
    <w:rsid w:val="00E67BE6"/>
    <w:rsid w:val="00E8044E"/>
    <w:rsid w:val="00E8683C"/>
    <w:rsid w:val="00EA2B72"/>
    <w:rsid w:val="00EA7AC8"/>
    <w:rsid w:val="00EB599A"/>
    <w:rsid w:val="00EB6F9F"/>
    <w:rsid w:val="00F74360"/>
    <w:rsid w:val="00FA1070"/>
    <w:rsid w:val="00FA1E5E"/>
    <w:rsid w:val="00FA2AB9"/>
    <w:rsid w:val="00FB462F"/>
    <w:rsid w:val="00FE16FA"/>
    <w:rsid w:val="00FE328A"/>
    <w:rsid w:val="00FE6269"/>
    <w:rsid w:val="00FF5CD6"/>
    <w:rsid w:val="321F63F3"/>
    <w:rsid w:val="399412B6"/>
    <w:rsid w:val="3FFB1FA8"/>
    <w:rsid w:val="6ECF0B61"/>
    <w:rsid w:val="BE9EB996"/>
    <w:rsid w:val="EF7B945E"/>
    <w:rsid w:val="FDED36C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locked/>
    <w:uiPriority w:val="99"/>
    <w:rPr>
      <w:rFonts w:cs="Times New Roman"/>
      <w:sz w:val="18"/>
      <w:szCs w:val="18"/>
    </w:rPr>
  </w:style>
  <w:style w:type="character" w:customStyle="1" w:styleId="8">
    <w:name w:val="页脚 Char"/>
    <w:basedOn w:val="6"/>
    <w:link w:val="3"/>
    <w:qFormat/>
    <w:locked/>
    <w:uiPriority w:val="99"/>
    <w:rPr>
      <w:rFonts w:cs="Times New Roman"/>
      <w:sz w:val="18"/>
      <w:szCs w:val="18"/>
    </w:r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qFormat/>
    <w:locked/>
    <w:uiPriority w:val="99"/>
    <w:rPr>
      <w:rFonts w:cs="Times New Roman"/>
      <w:sz w:val="18"/>
      <w:szCs w:val="18"/>
    </w:rPr>
  </w:style>
  <w:style w:type="paragraph" w:customStyle="1" w:styleId="12">
    <w:name w:val="列出段落1"/>
    <w:basedOn w:val="1"/>
    <w:qFormat/>
    <w:uiPriority w:val="99"/>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1452</Words>
  <Characters>8282</Characters>
  <Lines>69</Lines>
  <Paragraphs>19</Paragraphs>
  <TotalTime>1</TotalTime>
  <ScaleCrop>false</ScaleCrop>
  <LinksUpToDate>false</LinksUpToDate>
  <CharactersWithSpaces>9715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2023-09-21T16:57:00Z</dcterms:created>
  <dc:creator>李航 null</dc:creator>
  <cp:lastModifiedBy>kx</cp:lastModifiedBy>
  <cp:lastPrinted>2022-08-26T16:30:00Z</cp:lastPrinted>
  <dcterms:modified xsi:type="dcterms:W3CDTF">2023-09-26T10:02:58Z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263585B9A1054BF0ADA28AC72BC0F759_12</vt:lpwstr>
  </property>
</Properties>
</file>