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56"/>
          <w:szCs w:val="56"/>
        </w:rPr>
      </w:pPr>
    </w:p>
    <w:p>
      <w:pPr>
        <w:pStyle w:val="2"/>
        <w:jc w:val="center"/>
        <w:rPr>
          <w:sz w:val="56"/>
          <w:szCs w:val="56"/>
        </w:rPr>
      </w:pPr>
    </w:p>
    <w:p>
      <w:pPr>
        <w:pStyle w:val="2"/>
        <w:jc w:val="center"/>
        <w:rPr>
          <w:sz w:val="84"/>
          <w:szCs w:val="84"/>
        </w:rPr>
      </w:pPr>
    </w:p>
    <w:p>
      <w:pPr>
        <w:pStyle w:val="2"/>
        <w:jc w:val="center"/>
        <w:rPr>
          <w:sz w:val="84"/>
          <w:szCs w:val="84"/>
        </w:rPr>
      </w:pPr>
    </w:p>
    <w:p>
      <w:pPr>
        <w:pStyle w:val="2"/>
        <w:jc w:val="center"/>
        <w:rPr>
          <w:sz w:val="84"/>
          <w:szCs w:val="84"/>
        </w:rPr>
      </w:pPr>
      <w:r>
        <w:rPr>
          <w:rFonts w:hint="eastAsia"/>
          <w:sz w:val="84"/>
          <w:szCs w:val="84"/>
        </w:rPr>
        <w:t>2021年度</w:t>
      </w:r>
    </w:p>
    <w:p>
      <w:pPr>
        <w:pStyle w:val="2"/>
        <w:jc w:val="center"/>
        <w:rPr>
          <w:sz w:val="84"/>
          <w:szCs w:val="84"/>
        </w:rPr>
      </w:pPr>
      <w:r>
        <w:rPr>
          <w:sz w:val="84"/>
          <w:szCs w:val="84"/>
          <w:lang w:val="en"/>
        </w:rPr>
        <w:t>湖南省地质院</w:t>
      </w:r>
      <w:r>
        <w:rPr>
          <w:rFonts w:hint="eastAsia"/>
          <w:sz w:val="84"/>
          <w:szCs w:val="84"/>
        </w:rPr>
        <w:t>部门决算</w:t>
      </w:r>
    </w:p>
    <w:p>
      <w:pPr>
        <w:pStyle w:val="2"/>
        <w:jc w:val="center"/>
        <w:rPr>
          <w:sz w:val="56"/>
          <w:szCs w:val="56"/>
        </w:rPr>
      </w:pPr>
    </w:p>
    <w:p>
      <w:pPr>
        <w:pStyle w:val="2"/>
        <w:jc w:val="center"/>
        <w:rPr>
          <w:sz w:val="56"/>
          <w:szCs w:val="56"/>
        </w:rPr>
      </w:pPr>
    </w:p>
    <w:p>
      <w:pPr>
        <w:pStyle w:val="2"/>
        <w:jc w:val="center"/>
        <w:rPr>
          <w:sz w:val="56"/>
          <w:szCs w:val="56"/>
        </w:rPr>
      </w:pPr>
    </w:p>
    <w:p>
      <w:pPr>
        <w:pStyle w:val="2"/>
        <w:jc w:val="center"/>
        <w:rPr>
          <w:sz w:val="56"/>
          <w:szCs w:val="56"/>
        </w:rPr>
      </w:pPr>
    </w:p>
    <w:p>
      <w:pPr>
        <w:pStyle w:val="2"/>
        <w:jc w:val="center"/>
        <w:rPr>
          <w:sz w:val="32"/>
          <w:szCs w:val="32"/>
        </w:rPr>
      </w:pPr>
    </w:p>
    <w:p>
      <w:pPr>
        <w:pStyle w:val="2"/>
        <w:jc w:val="center"/>
        <w:rPr>
          <w:sz w:val="32"/>
          <w:szCs w:val="32"/>
        </w:rPr>
      </w:pPr>
    </w:p>
    <w:p>
      <w:pPr>
        <w:pStyle w:val="2"/>
        <w:jc w:val="center"/>
        <w:rPr>
          <w:sz w:val="32"/>
          <w:szCs w:val="32"/>
        </w:rPr>
      </w:pPr>
    </w:p>
    <w:p>
      <w:pPr>
        <w:pStyle w:val="2"/>
        <w:jc w:val="center"/>
        <w:rPr>
          <w:sz w:val="32"/>
          <w:szCs w:val="32"/>
        </w:rPr>
      </w:pPr>
    </w:p>
    <w:p>
      <w:pPr>
        <w:pStyle w:val="2"/>
        <w:jc w:val="center"/>
        <w:rPr>
          <w:sz w:val="32"/>
          <w:szCs w:val="32"/>
        </w:rPr>
      </w:pPr>
    </w:p>
    <w:p>
      <w:pPr>
        <w:pStyle w:val="2"/>
        <w:spacing w:line="540" w:lineRule="exact"/>
        <w:jc w:val="center"/>
        <w:rPr>
          <w:sz w:val="56"/>
          <w:szCs w:val="56"/>
        </w:rPr>
      </w:pPr>
    </w:p>
    <w:p>
      <w:pPr>
        <w:pStyle w:val="2"/>
        <w:spacing w:line="500" w:lineRule="exact"/>
        <w:jc w:val="center"/>
        <w:rPr>
          <w:b/>
          <w:sz w:val="36"/>
          <w:szCs w:val="28"/>
        </w:rPr>
      </w:pPr>
    </w:p>
    <w:p>
      <w:pPr>
        <w:pStyle w:val="2"/>
        <w:spacing w:line="500" w:lineRule="exact"/>
        <w:jc w:val="center"/>
        <w:rPr>
          <w:b/>
          <w:sz w:val="36"/>
          <w:szCs w:val="28"/>
        </w:rPr>
      </w:pPr>
    </w:p>
    <w:p>
      <w:pPr>
        <w:pStyle w:val="2"/>
        <w:spacing w:line="500" w:lineRule="exact"/>
        <w:jc w:val="center"/>
        <w:rPr>
          <w:b/>
          <w:sz w:val="36"/>
          <w:szCs w:val="28"/>
        </w:rPr>
      </w:pPr>
      <w:r>
        <w:rPr>
          <w:rFonts w:hint="eastAsia"/>
          <w:b/>
          <w:sz w:val="36"/>
          <w:szCs w:val="28"/>
        </w:rPr>
        <w:t>目录</w:t>
      </w:r>
    </w:p>
    <w:p>
      <w:pPr>
        <w:pStyle w:val="2"/>
        <w:spacing w:line="500" w:lineRule="exact"/>
        <w:rPr>
          <w:rFonts w:ascii="仿宋_GB2312" w:hAnsi="仿宋_GB2312" w:cs="仿宋_GB2312"/>
          <w:b/>
          <w:sz w:val="28"/>
          <w:szCs w:val="28"/>
        </w:rPr>
      </w:pPr>
      <w:r>
        <w:rPr>
          <w:rFonts w:hint="eastAsia"/>
          <w:b/>
          <w:sz w:val="28"/>
          <w:szCs w:val="28"/>
        </w:rPr>
        <w:t>第一部分 湖南省地质院概况</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2"/>
        <w:spacing w:line="50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2"/>
        <w:spacing w:line="50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2"/>
        <w:jc w:val="center"/>
        <w:rPr>
          <w:sz w:val="84"/>
          <w:szCs w:val="84"/>
        </w:rPr>
      </w:pPr>
      <w:r>
        <w:rPr>
          <w:rFonts w:hint="eastAsia"/>
          <w:sz w:val="84"/>
          <w:szCs w:val="84"/>
        </w:rPr>
        <w:t>第一部分</w:t>
      </w:r>
      <w:r>
        <w:rPr>
          <w:sz w:val="84"/>
          <w:szCs w:val="84"/>
        </w:rPr>
        <w:t xml:space="preserve"> </w:t>
      </w:r>
    </w:p>
    <w:p>
      <w:pPr>
        <w:pStyle w:val="2"/>
        <w:jc w:val="center"/>
        <w:rPr>
          <w:sz w:val="84"/>
          <w:szCs w:val="84"/>
        </w:rPr>
      </w:pPr>
    </w:p>
    <w:p>
      <w:pPr>
        <w:pStyle w:val="2"/>
        <w:jc w:val="center"/>
        <w:rPr>
          <w:sz w:val="84"/>
          <w:szCs w:val="84"/>
        </w:rPr>
      </w:pPr>
      <w:r>
        <w:rPr>
          <w:sz w:val="84"/>
          <w:szCs w:val="84"/>
          <w:lang w:val="en"/>
        </w:rPr>
        <w:t>湖南省地质院</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spacing w:line="600" w:lineRule="exact"/>
        <w:ind w:firstLine="0" w:firstLineChars="0"/>
        <w:jc w:val="left"/>
        <w:rPr>
          <w:rFonts w:ascii="黑体" w:hAnsi="黑体" w:eastAsia="黑体"/>
          <w:sz w:val="32"/>
          <w:szCs w:val="32"/>
        </w:rPr>
      </w:pPr>
      <w:r>
        <w:rPr>
          <w:rFonts w:hint="eastAsia" w:ascii="黑体" w:hAnsi="黑体" w:eastAsia="黑体"/>
          <w:sz w:val="32"/>
          <w:szCs w:val="32"/>
        </w:rPr>
        <w:t xml:space="preserve">     一、</w:t>
      </w:r>
      <w:r>
        <w:rPr>
          <w:rFonts w:ascii="黑体" w:hAnsi="黑体" w:eastAsia="黑体"/>
          <w:sz w:val="32"/>
          <w:szCs w:val="32"/>
        </w:rPr>
        <w:t>部门职责</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承担国家和全省基础性、公益性地质调查、战略性矿产勘查和地质科学研究工作，为全省自然资源管理提供地质技术支持，为全省经济社会发展和生态文明建设提供地质科学理论、基础地质信息支持及资源能源、地质环境、地质灾害防治技术服务。</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（二）开展区域地质、地球物理、地球化学、遥感地质、旅游地质调查，更新基础地质信息资料。</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（三）承担能源、矿产、水资源及其他战略资源远景评价与勘查，为推进资源的绿色勘查开发利用提供技术支持。</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（四）承担地质灾害防治调查评价、专业监测、应急排查和救援技术服务，参与工程地质、矿山地质应急救援技术服务。</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（五）承担水文地质、城市地质、环境地质、生态地质调查评价，参与自然资源、国土空间调查监测相关工作。</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（六）开展核地质调查评价与勘查，承担核应急地质技术支持和核地质技术应用及科普工作，组织实施军工铀矿地质勘探设施退役治理工程。</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（七）开展地质理论、技术、方法、标准研究，参与基础测绘及地理信息工程建设，进行地质大数据研发与应用。开展学术交流合作。</w:t>
      </w:r>
    </w:p>
    <w:p>
      <w:pPr>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（八）完成省自然资源厅交办的其他任务。</w:t>
      </w:r>
    </w:p>
    <w:p>
      <w:pPr>
        <w:widowControl/>
        <w:spacing w:line="600" w:lineRule="exact"/>
        <w:ind w:firstLine="640" w:firstLineChars="200"/>
        <w:jc w:val="left"/>
      </w:pPr>
      <w:r>
        <w:rPr>
          <w:rFonts w:ascii="黑体" w:hAnsi="宋体" w:eastAsia="黑体" w:cs="黑体"/>
          <w:bCs/>
          <w:kern w:val="0"/>
          <w:sz w:val="32"/>
          <w:szCs w:val="32"/>
          <w:lang w:bidi="ar"/>
        </w:rPr>
        <w:t>二、机构设置及决算单位构成</w:t>
      </w:r>
    </w:p>
    <w:p>
      <w:pPr>
        <w:widowControl/>
        <w:spacing w:line="600" w:lineRule="exact"/>
        <w:ind w:firstLine="642" w:firstLineChars="200"/>
        <w:jc w:val="left"/>
        <w:rPr>
          <w:rFonts w:ascii="仿宋_GB2312" w:hAnsi="仿宋_GB2312" w:eastAsia="仿宋_GB2312" w:cs="仿宋_GB2312"/>
          <w:bCs/>
          <w:kern w:val="0"/>
          <w:sz w:val="32"/>
          <w:szCs w:val="32"/>
          <w:lang w:bidi="ar"/>
        </w:rPr>
      </w:pPr>
      <w:r>
        <w:rPr>
          <w:rFonts w:hint="eastAsia" w:ascii="楷体_GB2312" w:hAnsi="楷体_GB2312" w:eastAsia="楷体_GB2312" w:cs="楷体_GB2312"/>
          <w:b/>
          <w:kern w:val="0"/>
          <w:sz w:val="32"/>
          <w:szCs w:val="32"/>
          <w:lang w:bidi="ar"/>
        </w:rPr>
        <w:t>（一）内设机构设置。</w:t>
      </w:r>
      <w:r>
        <w:rPr>
          <w:rFonts w:hint="eastAsia" w:ascii="仿宋_GB2312" w:hAnsi="仿宋_GB2312" w:eastAsia="仿宋_GB2312" w:cs="仿宋_GB2312"/>
          <w:bCs/>
          <w:kern w:val="0"/>
          <w:sz w:val="32"/>
          <w:szCs w:val="32"/>
          <w:lang w:bidi="ar"/>
        </w:rPr>
        <w:t>我</w:t>
      </w:r>
      <w:r>
        <w:rPr>
          <w:rFonts w:hint="eastAsia" w:ascii="仿宋_GB2312" w:hAnsi="仿宋_GB2312" w:eastAsia="仿宋_GB2312" w:cs="仿宋_GB2312"/>
          <w:color w:val="333333"/>
          <w:sz w:val="32"/>
          <w:szCs w:val="32"/>
          <w:lang w:bidi="ar"/>
        </w:rPr>
        <w:t>院内设机构</w:t>
      </w:r>
      <w:r>
        <w:rPr>
          <w:rFonts w:hint="eastAsia" w:ascii="仿宋_GB2312" w:hAnsi="仿宋_GB2312" w:eastAsia="仿宋_GB2312" w:cs="仿宋_GB2312"/>
          <w:sz w:val="32"/>
          <w:szCs w:val="32"/>
          <w:lang w:bidi="ar"/>
        </w:rPr>
        <w:t>17个，包括综合协调部、党群工作部、组织人事部、纪检监察室、审计室、财务资产部、安全生产管理部、深化改革办公室、地质勘查室、生态环境室、工程地质室、核技术应用指导室、科技与外事合作室、产业发展规划室、宣传中心、机关事务管理中心、离退休职工服务中心。2021年7月</w:t>
      </w:r>
      <w:r>
        <w:rPr>
          <w:rFonts w:hint="eastAsia" w:ascii="仿宋_GB2312" w:hAnsi="仿宋_GB2312" w:eastAsia="仿宋_GB2312" w:cs="仿宋_GB2312"/>
          <w:bCs/>
          <w:kern w:val="0"/>
          <w:sz w:val="32"/>
          <w:szCs w:val="32"/>
          <w:lang w:bidi="ar"/>
        </w:rPr>
        <w:t>根据中共湖南省委机构编制委员会下发的文件，调整为15个内设机构，包括办公室、组织人事部、财务资产部、发展规划室、地质调查室、地质勘查室、地质灾害防治室、环境地质室、自然生态室、地质工程室、核地质技术室、科技合作室、地质信息室、安全生产管理室、离退休工作部。</w:t>
      </w:r>
      <w:r>
        <w:rPr>
          <w:rFonts w:hint="eastAsia" w:ascii="仿宋_GB2312" w:hAnsi="仿宋_GB2312" w:eastAsia="仿宋_GB2312" w:cs="仿宋_GB2312"/>
          <w:sz w:val="32"/>
          <w:szCs w:val="32"/>
          <w:lang w:eastAsia="zh-CN" w:bidi="ar"/>
        </w:rPr>
        <w:t>机关党委</w:t>
      </w:r>
      <w:r>
        <w:rPr>
          <w:rFonts w:hint="default" w:ascii="仿宋_GB2312" w:hAnsi="仿宋_GB2312" w:eastAsia="仿宋_GB2312" w:cs="仿宋_GB2312"/>
          <w:sz w:val="32"/>
          <w:szCs w:val="32"/>
          <w:lang w:val="en" w:eastAsia="zh-CN" w:bidi="ar"/>
        </w:rPr>
        <w:t>(</w:t>
      </w:r>
      <w:r>
        <w:rPr>
          <w:rFonts w:hint="eastAsia" w:ascii="仿宋_GB2312" w:hAnsi="仿宋_GB2312" w:eastAsia="仿宋_GB2312" w:cs="仿宋_GB2312"/>
          <w:sz w:val="32"/>
          <w:szCs w:val="32"/>
          <w:lang w:val="en" w:eastAsia="zh-CN" w:bidi="ar"/>
        </w:rPr>
        <w:t>含机关纪委）</w:t>
      </w:r>
      <w:r>
        <w:rPr>
          <w:rFonts w:hint="eastAsia" w:ascii="仿宋_GB2312" w:hAnsi="仿宋_GB2312" w:eastAsia="仿宋_GB2312" w:cs="仿宋_GB2312"/>
          <w:sz w:val="32"/>
          <w:szCs w:val="32"/>
          <w:lang w:eastAsia="zh-CN" w:bidi="ar"/>
        </w:rPr>
        <w:t>，负责院机关和所属事业单位的党群和纪检工作。</w:t>
      </w:r>
    </w:p>
    <w:p>
      <w:pPr>
        <w:widowControl/>
        <w:spacing w:line="600" w:lineRule="exact"/>
        <w:ind w:firstLine="642" w:firstLineChars="200"/>
        <w:jc w:val="left"/>
        <w:rPr>
          <w:rFonts w:ascii="仿宋_GB2312" w:hAnsi="仿宋_GB2312" w:eastAsia="仿宋_GB2312" w:cs="仿宋_GB2312"/>
          <w:sz w:val="32"/>
          <w:szCs w:val="32"/>
          <w:lang w:bidi="ar"/>
        </w:rPr>
      </w:pPr>
      <w:r>
        <w:rPr>
          <w:rFonts w:hint="eastAsia" w:ascii="楷体_GB2312" w:hAnsi="楷体_GB2312" w:eastAsia="楷体_GB2312" w:cs="楷体_GB2312"/>
          <w:b/>
          <w:kern w:val="0"/>
          <w:sz w:val="32"/>
          <w:szCs w:val="32"/>
          <w:lang w:bidi="ar"/>
        </w:rPr>
        <w:t>（二）决算单位构成。</w:t>
      </w:r>
      <w:r>
        <w:rPr>
          <w:rFonts w:hint="eastAsia" w:ascii="仿宋_GB2312" w:hAnsi="仿宋_GB2312" w:eastAsia="仿宋_GB2312" w:cs="仿宋_GB2312"/>
          <w:bCs/>
          <w:kern w:val="0"/>
          <w:sz w:val="32"/>
          <w:szCs w:val="32"/>
          <w:lang w:bidi="ar"/>
        </w:rPr>
        <w:t>湖南</w:t>
      </w:r>
      <w:r>
        <w:rPr>
          <w:rFonts w:hint="eastAsia" w:ascii="仿宋_GB2312" w:hAnsi="仿宋_GB2312" w:eastAsia="仿宋_GB2312" w:cs="仿宋_GB2312"/>
          <w:sz w:val="32"/>
          <w:szCs w:val="32"/>
          <w:lang w:bidi="ar"/>
        </w:rPr>
        <w:t>省地质院2021年部门决算汇总公开单位构成包括以下49家：湖南省地质院本级、湖南省煤田地质局一队、湖南省煤田地质局二队、湖南省煤田地质局三队、湖南省煤田地质局五队、湖南省煤田地质局六队、湖南省煤田地质局物探测量队、湖南省煤田地质局油气资源勘探队、湖南省煤田地质局水工环地质勘探队、湖南省煤炭地质勘查院、湖南省煤田地质局机关后勤服务中心、湖南省地质测试研究院、湖南省地质矿产勘查开发局四〇二队、湖南省地质矿产勘查开发局四〇三队、湖南省地质矿产勘查开发局四〇五队、湖南省地质矿产勘查开发局四〇七队、湖南省地质矿产勘查开发局四〇八队、湖南省地质矿产勘查开发局四〇九队、湖南省地质矿产勘查开发局四一三队、湖南省地质矿产勘查开发局四一四队、湖南省地质矿产勘查开发局四一六队、湖南省地质矿产勘查开发局四一七队、湖南省地质矿产勘查开发局四一八队、湖南省地球物理地球化学勘查院、湖南省湘南地质勘察院、湖南省地质测绘院、湖南省金刚石勘查研究院、湖南省地质调查院、湖南省有色地质勘查局一总队、湖南省有色地质勘查局二总队、湖南省有色地质勘查局工程地质总队、湖南省有色地质勘查局二一四队、湖南省有色地质勘查局二一七队、湖南省有色地质勘查局二四五队、湖南省有色地质勘查局二四七队、湖南省有色地质勘查研究院、湖南省有色地质医院、湖南省有色地质勘查矿业研究信息中心、湖南有色地质工程测试研究中心、湖南省核工业地质局三〇一大队、湖南省核工业地质局三〇二大队、湖南省核工业地质局三〇三大队、湖南省核工业地质局三〇四大队、湖南省核工业地质局三〇六大队、湖南省核工业地质局三一一大队、湖南省核工业超硬材料研究所、湖南省核工业地质调查院、湖南省核工业地质局探矿技术研究所、湖南省核工业地质局培训中心。</w:t>
      </w:r>
    </w:p>
    <w:p>
      <w:pPr>
        <w:widowControl/>
        <w:spacing w:line="600" w:lineRule="exact"/>
        <w:ind w:firstLine="640" w:firstLineChars="200"/>
        <w:jc w:val="left"/>
        <w:rPr>
          <w:rFonts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lang w:bidi="ar"/>
        </w:rPr>
        <w:t xml:space="preserve"> 2021年7月，</w:t>
      </w:r>
      <w:r>
        <w:rPr>
          <w:rFonts w:hint="eastAsia" w:ascii="仿宋_GB2312" w:hAnsi="仿宋_GB2312" w:eastAsia="仿宋_GB2312" w:cs="仿宋_GB2312"/>
          <w:bCs/>
          <w:kern w:val="0"/>
          <w:sz w:val="32"/>
          <w:szCs w:val="32"/>
          <w:lang w:bidi="ar"/>
        </w:rPr>
        <w:t>根据中共湖南省委机构编制委员会办公室《关于湖南省地质院所属事业单位机构编制调整有关事项的通知》（湘编办函〔2021〕93号）文件精神，同意我院组建15家省直地质事业单位，均为湖南省地质院管理的事业单位，包括：湖南省地质调查所、湖南省地质灾害调查监测所、湖南省自然资源调查所、湖南省矿产资源调查所、湖南省生态地质调查监测所、湖南省国土空间调查监测所、湖南省核地质调查所、湖南省工程地质矿山地质调查监测所、湖南省水文地质环境地质调查监测所、湖南省城市地质调查监测所、湖南省地球物理地球化学调查所、湖南省遥感地质调查监测所、湖南省地质地理信息所、湖南省地质实验测试中心、湖南省核地质与核技术应用中心。</w:t>
      </w:r>
    </w:p>
    <w:p>
      <w:pPr>
        <w:jc w:val="center"/>
        <w:rPr>
          <w:rFonts w:ascii="黑体" w:hAnsi="黑体" w:eastAsia="黑体"/>
          <w:sz w:val="28"/>
          <w:szCs w:val="28"/>
        </w:rPr>
      </w:pPr>
      <w:r>
        <w:rPr>
          <w:rFonts w:hint="eastAsia" w:ascii="宋体" w:hAnsi="宋体" w:eastAsia="宋体" w:cs="仿宋"/>
          <w:sz w:val="32"/>
          <w:szCs w:val="32"/>
          <w:lang w:bidi="ar"/>
        </w:rPr>
        <w:t> </w:t>
      </w:r>
    </w:p>
    <w:p>
      <w:pP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2021年度部门决算表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ascii="黑体" w:hAnsi="黑体" w:eastAsia="黑体"/>
          <w:sz w:val="28"/>
          <w:szCs w:val="28"/>
        </w:rPr>
      </w:pPr>
    </w:p>
    <w:tbl>
      <w:tblPr>
        <w:tblStyle w:val="10"/>
        <w:tblW w:w="15005" w:type="dxa"/>
        <w:tblInd w:w="93" w:type="dxa"/>
        <w:tblLayout w:type="fixed"/>
        <w:tblCellMar>
          <w:top w:w="0" w:type="dxa"/>
          <w:left w:w="108" w:type="dxa"/>
          <w:bottom w:w="0" w:type="dxa"/>
          <w:right w:w="108" w:type="dxa"/>
        </w:tblCellMar>
      </w:tblPr>
      <w:tblGrid>
        <w:gridCol w:w="3894"/>
        <w:gridCol w:w="1400"/>
        <w:gridCol w:w="1541"/>
        <w:gridCol w:w="5732"/>
        <w:gridCol w:w="634"/>
        <w:gridCol w:w="1804"/>
      </w:tblGrid>
      <w:tr>
        <w:tblPrEx>
          <w:tblCellMar>
            <w:top w:w="0" w:type="dxa"/>
            <w:left w:w="108" w:type="dxa"/>
            <w:bottom w:w="0" w:type="dxa"/>
            <w:right w:w="108" w:type="dxa"/>
          </w:tblCellMar>
        </w:tblPrEx>
        <w:trPr>
          <w:trHeight w:val="375" w:hRule="atLeast"/>
        </w:trPr>
        <w:tc>
          <w:tcPr>
            <w:tcW w:w="15005" w:type="dxa"/>
            <w:gridSpan w:val="6"/>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华文中宋" w:hAnsi="华文中宋" w:eastAsia="华文中宋"/>
                <w:color w:val="000000"/>
                <w:sz w:val="32"/>
                <w:szCs w:val="32"/>
              </w:rPr>
              <w:t>收入支出决算总表</w:t>
            </w:r>
          </w:p>
        </w:tc>
      </w:tr>
      <w:tr>
        <w:tblPrEx>
          <w:tblCellMar>
            <w:top w:w="0" w:type="dxa"/>
            <w:left w:w="108" w:type="dxa"/>
            <w:bottom w:w="0" w:type="dxa"/>
            <w:right w:w="108" w:type="dxa"/>
          </w:tblCellMar>
        </w:tblPrEx>
        <w:trPr>
          <w:trHeight w:val="300" w:hRule="atLeast"/>
        </w:trPr>
        <w:tc>
          <w:tcPr>
            <w:tcW w:w="389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0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4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573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63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04" w:type="dxa"/>
            <w:tcBorders>
              <w:top w:val="nil"/>
              <w:left w:val="nil"/>
              <w:bottom w:val="nil"/>
              <w:right w:val="single" w:color="808080" w:sz="4" w:space="0"/>
            </w:tcBorders>
            <w:shd w:val="clear" w:color="auto" w:fill="auto"/>
            <w:noWrap/>
            <w:vAlign w:val="center"/>
          </w:tcPr>
          <w:p>
            <w:pPr>
              <w:jc w:val="right"/>
              <w:rPr>
                <w:color w:val="000000"/>
                <w:sz w:val="20"/>
                <w:szCs w:val="20"/>
              </w:rPr>
            </w:pPr>
            <w:r>
              <w:rPr>
                <w:rFonts w:hint="eastAsia"/>
                <w:color w:val="000000"/>
                <w:sz w:val="20"/>
                <w:szCs w:val="20"/>
              </w:rPr>
              <w:t>公开01表</w:t>
            </w:r>
          </w:p>
        </w:tc>
      </w:tr>
      <w:tr>
        <w:tblPrEx>
          <w:tblCellMar>
            <w:top w:w="0" w:type="dxa"/>
            <w:left w:w="108" w:type="dxa"/>
            <w:bottom w:w="0" w:type="dxa"/>
            <w:right w:w="108" w:type="dxa"/>
          </w:tblCellMar>
        </w:tblPrEx>
        <w:trPr>
          <w:trHeight w:val="300" w:hRule="atLeast"/>
        </w:trPr>
        <w:tc>
          <w:tcPr>
            <w:tcW w:w="3894" w:type="dxa"/>
            <w:tcBorders>
              <w:top w:val="nil"/>
              <w:left w:val="nil"/>
              <w:bottom w:val="single" w:color="808080" w:sz="4" w:space="0"/>
              <w:right w:val="nil"/>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部门：湖南省地质院</w:t>
            </w:r>
          </w:p>
        </w:tc>
        <w:tc>
          <w:tcPr>
            <w:tcW w:w="1400" w:type="dxa"/>
            <w:tcBorders>
              <w:top w:val="nil"/>
              <w:left w:val="nil"/>
              <w:bottom w:val="single" w:color="808080" w:sz="4" w:space="0"/>
              <w:right w:val="nil"/>
            </w:tcBorders>
            <w:shd w:val="clear" w:color="auto" w:fill="auto"/>
            <w:noWrap/>
            <w:vAlign w:val="center"/>
          </w:tcPr>
          <w:p>
            <w:pPr>
              <w:jc w:val="left"/>
              <w:rPr>
                <w:rFonts w:asciiTheme="minorEastAsia" w:hAnsiTheme="minorEastAsia" w:cstheme="minorEastAsia"/>
                <w:color w:val="000000"/>
                <w:szCs w:val="21"/>
              </w:rPr>
            </w:pPr>
          </w:p>
        </w:tc>
        <w:tc>
          <w:tcPr>
            <w:tcW w:w="1541" w:type="dxa"/>
            <w:tcBorders>
              <w:top w:val="nil"/>
              <w:left w:val="nil"/>
              <w:bottom w:val="single" w:color="808080" w:sz="4" w:space="0"/>
              <w:right w:val="nil"/>
            </w:tcBorders>
            <w:shd w:val="clear" w:color="auto" w:fill="auto"/>
            <w:noWrap/>
            <w:vAlign w:val="center"/>
          </w:tcPr>
          <w:p>
            <w:pPr>
              <w:widowControl/>
              <w:jc w:val="center"/>
              <w:textAlignment w:val="center"/>
              <w:rPr>
                <w:rFonts w:asciiTheme="minorEastAsia" w:hAnsiTheme="minorEastAsia" w:cstheme="minorEastAsia"/>
                <w:color w:val="000000"/>
                <w:szCs w:val="21"/>
              </w:rPr>
            </w:pPr>
          </w:p>
        </w:tc>
        <w:tc>
          <w:tcPr>
            <w:tcW w:w="5732" w:type="dxa"/>
            <w:tcBorders>
              <w:top w:val="nil"/>
              <w:left w:val="nil"/>
              <w:bottom w:val="single" w:color="808080" w:sz="4" w:space="0"/>
              <w:right w:val="nil"/>
            </w:tcBorders>
            <w:shd w:val="clear" w:color="auto" w:fill="auto"/>
            <w:noWrap/>
            <w:vAlign w:val="center"/>
          </w:tcPr>
          <w:p>
            <w:pPr>
              <w:jc w:val="left"/>
              <w:rPr>
                <w:rFonts w:asciiTheme="minorEastAsia" w:hAnsiTheme="minorEastAsia" w:cstheme="minorEastAsia"/>
                <w:color w:val="000000"/>
                <w:szCs w:val="21"/>
              </w:rPr>
            </w:pPr>
          </w:p>
        </w:tc>
        <w:tc>
          <w:tcPr>
            <w:tcW w:w="634" w:type="dxa"/>
            <w:tcBorders>
              <w:top w:val="nil"/>
              <w:left w:val="nil"/>
              <w:bottom w:val="single" w:color="808080" w:sz="4" w:space="0"/>
              <w:right w:val="nil"/>
            </w:tcBorders>
            <w:shd w:val="clear" w:color="auto" w:fill="auto"/>
            <w:noWrap/>
            <w:vAlign w:val="center"/>
          </w:tcPr>
          <w:p>
            <w:pPr>
              <w:jc w:val="left"/>
              <w:rPr>
                <w:rFonts w:asciiTheme="minorEastAsia" w:hAnsiTheme="minorEastAsia" w:cstheme="minorEastAsia"/>
                <w:color w:val="000000"/>
                <w:szCs w:val="21"/>
              </w:rPr>
            </w:pPr>
          </w:p>
        </w:tc>
        <w:tc>
          <w:tcPr>
            <w:tcW w:w="1804" w:type="dxa"/>
            <w:tcBorders>
              <w:top w:val="nil"/>
              <w:left w:val="nil"/>
              <w:bottom w:val="single" w:color="808080" w:sz="4" w:space="0"/>
              <w:right w:val="single" w:color="808080" w:sz="4" w:space="0"/>
            </w:tcBorders>
            <w:shd w:val="clear" w:color="auto" w:fill="auto"/>
            <w:noWrap/>
            <w:vAlign w:val="center"/>
          </w:tcPr>
          <w:p>
            <w:pPr>
              <w:jc w:val="right"/>
              <w:rPr>
                <w:rFonts w:asciiTheme="minorEastAsia" w:hAnsiTheme="minorEastAsia" w:cstheme="minorEastAsia"/>
                <w:color w:val="000000"/>
                <w:szCs w:val="21"/>
              </w:rPr>
            </w:pPr>
            <w:r>
              <w:rPr>
                <w:rFonts w:hint="eastAsia" w:asciiTheme="minorEastAsia" w:hAnsiTheme="minorEastAsia" w:cstheme="minorEastAsia"/>
                <w:color w:val="000000"/>
                <w:szCs w:val="21"/>
              </w:rPr>
              <w:t>金额单位：万元</w:t>
            </w:r>
          </w:p>
        </w:tc>
      </w:tr>
      <w:tr>
        <w:tblPrEx>
          <w:tblCellMar>
            <w:top w:w="0" w:type="dxa"/>
            <w:left w:w="108" w:type="dxa"/>
            <w:bottom w:w="0" w:type="dxa"/>
            <w:right w:w="108" w:type="dxa"/>
          </w:tblCellMar>
        </w:tblPrEx>
        <w:trPr>
          <w:trHeight w:val="300" w:hRule="atLeast"/>
        </w:trPr>
        <w:tc>
          <w:tcPr>
            <w:tcW w:w="683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收入</w:t>
            </w:r>
          </w:p>
        </w:tc>
        <w:tc>
          <w:tcPr>
            <w:tcW w:w="8170" w:type="dxa"/>
            <w:gridSpan w:val="3"/>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支出</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行次</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lang w:val="en"/>
              </w:rPr>
            </w:pPr>
            <w:r>
              <w:rPr>
                <w:rFonts w:hint="eastAsia" w:asciiTheme="minorEastAsia" w:hAnsiTheme="minorEastAsia" w:cstheme="minorEastAsia"/>
                <w:color w:val="000000"/>
                <w:szCs w:val="21"/>
                <w:lang w:val="en"/>
              </w:rPr>
              <w:t>决算数</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行次</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决算数</w:t>
            </w:r>
          </w:p>
        </w:tc>
      </w:tr>
      <w:tr>
        <w:tblPrEx>
          <w:tblCellMar>
            <w:top w:w="0" w:type="dxa"/>
            <w:left w:w="108" w:type="dxa"/>
            <w:bottom w:w="0" w:type="dxa"/>
            <w:right w:w="108" w:type="dxa"/>
          </w:tblCellMar>
        </w:tblPrEx>
        <w:trPr>
          <w:trHeight w:val="9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1400" w:type="dxa"/>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54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634" w:type="dxa"/>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80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一、一般公共预算财政拨款收入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174,885.22</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一、一般公共服务支出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116.60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二、政府性基金预算财政拨款收入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二、外交支出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三、国有资本经营预算财政拨款收入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三、国防支出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四、上级补助收入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四、公共安全支出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五、事业收入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240.48</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五、教育支出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253.76</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六、经营收入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103,356.54</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六、科学技术支出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320.49</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七、附属单位上缴收入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七、文化旅游体育与传媒支出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八、其他收入</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八、社会保障和就业支出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28,501.06</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九、卫生健康支出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8,774.63</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十、节能环保支出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十一、城乡社区支出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十二、农林水支出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十三、交通运输支出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十四、资源勘探工业信息等支出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12,585.49</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十五、商业服务业等支出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十六、金融支出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十七、援助其他地区支出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十八、自然资源海洋气象等支出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198,788.77</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十九、住房保障支出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12,567.93</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20</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二十、粮油物资储备支出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51</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二十一、国有资本经营预算支出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二十二、灾害防治及应急管理支出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13,419.09</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二十三、其他支出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b/>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二十四、债务还本支出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二十五、债务付息支出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二十六、抗疫特别国债安排的支出</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本年收入合计</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278,482.24</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本年支出合计</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275,735.18</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使用非财政拨款结余</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结余分配</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4,098.00</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年初结转和结余</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5,227.09</w:t>
            </w:r>
          </w:p>
        </w:tc>
        <w:tc>
          <w:tcPr>
            <w:tcW w:w="573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年末结转和结余</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3,876.15</w:t>
            </w: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1541"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5732"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1804"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3894"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总计</w:t>
            </w:r>
          </w:p>
        </w:tc>
        <w:tc>
          <w:tcPr>
            <w:tcW w:w="14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154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283,709.33</w:t>
            </w:r>
          </w:p>
        </w:tc>
        <w:tc>
          <w:tcPr>
            <w:tcW w:w="5732" w:type="dxa"/>
            <w:tcBorders>
              <w:top w:val="nil"/>
              <w:left w:val="nil"/>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总计</w:t>
            </w:r>
          </w:p>
        </w:tc>
        <w:tc>
          <w:tcPr>
            <w:tcW w:w="63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18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283,709.33</w:t>
            </w:r>
          </w:p>
        </w:tc>
      </w:tr>
      <w:tr>
        <w:tblPrEx>
          <w:tblCellMar>
            <w:top w:w="0" w:type="dxa"/>
            <w:left w:w="108" w:type="dxa"/>
            <w:bottom w:w="0" w:type="dxa"/>
            <w:right w:w="108" w:type="dxa"/>
          </w:tblCellMar>
        </w:tblPrEx>
        <w:trPr>
          <w:trHeight w:val="300" w:hRule="atLeast"/>
        </w:trPr>
        <w:tc>
          <w:tcPr>
            <w:tcW w:w="15005" w:type="dxa"/>
            <w:gridSpan w:val="6"/>
            <w:tcBorders>
              <w:top w:val="nil"/>
              <w:left w:val="nil"/>
              <w:bottom w:val="nil"/>
              <w:right w:val="nil"/>
            </w:tcBorders>
            <w:shd w:val="clear" w:color="auto" w:fill="FFFFFF"/>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5005" w:type="dxa"/>
            <w:gridSpan w:val="6"/>
            <w:tcBorders>
              <w:top w:val="nil"/>
              <w:left w:val="nil"/>
              <w:bottom w:val="nil"/>
              <w:right w:val="nil"/>
            </w:tcBorders>
            <w:shd w:val="clear" w:color="auto" w:fill="FFFFFF"/>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2.本套报表金额单位转换时可能存在尾数误差。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tbl>
      <w:tblPr>
        <w:tblStyle w:val="10"/>
        <w:tblW w:w="19348" w:type="dxa"/>
        <w:tblInd w:w="93" w:type="dxa"/>
        <w:tblLayout w:type="fixed"/>
        <w:tblCellMar>
          <w:top w:w="0" w:type="dxa"/>
          <w:left w:w="108" w:type="dxa"/>
          <w:bottom w:w="0" w:type="dxa"/>
          <w:right w:w="108" w:type="dxa"/>
        </w:tblCellMar>
      </w:tblPr>
      <w:tblGrid>
        <w:gridCol w:w="2196"/>
        <w:gridCol w:w="329"/>
        <w:gridCol w:w="240"/>
        <w:gridCol w:w="2497"/>
        <w:gridCol w:w="1830"/>
        <w:gridCol w:w="1665"/>
        <w:gridCol w:w="1215"/>
        <w:gridCol w:w="1320"/>
        <w:gridCol w:w="1440"/>
        <w:gridCol w:w="1035"/>
        <w:gridCol w:w="1215"/>
        <w:gridCol w:w="75"/>
        <w:gridCol w:w="4291"/>
      </w:tblGrid>
      <w:tr>
        <w:tblPrEx>
          <w:tblCellMar>
            <w:top w:w="0" w:type="dxa"/>
            <w:left w:w="108" w:type="dxa"/>
            <w:bottom w:w="0" w:type="dxa"/>
            <w:right w:w="108" w:type="dxa"/>
          </w:tblCellMar>
        </w:tblPrEx>
        <w:trPr>
          <w:gridAfter w:val="1"/>
          <w:wAfter w:w="4291" w:type="dxa"/>
          <w:trHeight w:val="375" w:hRule="atLeast"/>
        </w:trPr>
        <w:tc>
          <w:tcPr>
            <w:tcW w:w="15057" w:type="dxa"/>
            <w:gridSpan w:val="12"/>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4291" w:type="dxa"/>
          <w:trHeight w:val="300" w:hRule="atLeast"/>
        </w:trPr>
        <w:tc>
          <w:tcPr>
            <w:tcW w:w="219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2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49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8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6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2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765" w:type="dxa"/>
            <w:gridSpan w:val="4"/>
            <w:tcBorders>
              <w:top w:val="nil"/>
              <w:left w:val="nil"/>
              <w:bottom w:val="nil"/>
              <w:right w:val="single" w:color="808080" w:sz="4" w:space="0"/>
            </w:tcBorders>
            <w:shd w:val="clear" w:color="auto" w:fill="FFFFFF"/>
            <w:noWrap/>
            <w:vAlign w:val="center"/>
          </w:tcPr>
          <w:p>
            <w:pPr>
              <w:jc w:val="right"/>
              <w:rPr>
                <w:color w:val="000000"/>
                <w:sz w:val="20"/>
                <w:szCs w:val="20"/>
              </w:rPr>
            </w:pPr>
            <w:r>
              <w:rPr>
                <w:rFonts w:hint="eastAsia"/>
                <w:color w:val="000000"/>
                <w:sz w:val="20"/>
                <w:szCs w:val="20"/>
              </w:rPr>
              <w:t>公开02表</w:t>
            </w:r>
          </w:p>
        </w:tc>
      </w:tr>
      <w:tr>
        <w:tblPrEx>
          <w:tblCellMar>
            <w:top w:w="0" w:type="dxa"/>
            <w:left w:w="108" w:type="dxa"/>
            <w:bottom w:w="0" w:type="dxa"/>
            <w:right w:w="108" w:type="dxa"/>
          </w:tblCellMar>
        </w:tblPrEx>
        <w:trPr>
          <w:gridAfter w:val="1"/>
          <w:wAfter w:w="4291" w:type="dxa"/>
          <w:trHeight w:val="479" w:hRule="atLeast"/>
        </w:trPr>
        <w:tc>
          <w:tcPr>
            <w:tcW w:w="5262" w:type="dxa"/>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color w:val="000000"/>
                <w:sz w:val="20"/>
                <w:szCs w:val="20"/>
              </w:rPr>
              <w:t>部门：湖南省地质院</w:t>
            </w:r>
          </w:p>
        </w:tc>
        <w:tc>
          <w:tcPr>
            <w:tcW w:w="183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665" w:type="dxa"/>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p>
        </w:tc>
        <w:tc>
          <w:tcPr>
            <w:tcW w:w="1215"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32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765" w:type="dxa"/>
            <w:gridSpan w:val="4"/>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color w:val="000000"/>
                <w:sz w:val="20"/>
                <w:szCs w:val="20"/>
              </w:rPr>
              <w:t>金额单位：万元</w:t>
            </w:r>
          </w:p>
        </w:tc>
      </w:tr>
      <w:tr>
        <w:tblPrEx>
          <w:tblCellMar>
            <w:top w:w="0" w:type="dxa"/>
            <w:left w:w="108" w:type="dxa"/>
            <w:bottom w:w="0" w:type="dxa"/>
            <w:right w:w="108" w:type="dxa"/>
          </w:tblCellMar>
        </w:tblPrEx>
        <w:trPr>
          <w:gridAfter w:val="1"/>
          <w:wAfter w:w="4291" w:type="dxa"/>
          <w:trHeight w:val="300" w:hRule="atLeast"/>
        </w:trPr>
        <w:tc>
          <w:tcPr>
            <w:tcW w:w="52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183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本年收入合计</w:t>
            </w:r>
          </w:p>
        </w:tc>
        <w:tc>
          <w:tcPr>
            <w:tcW w:w="16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财政拨款收入</w:t>
            </w:r>
          </w:p>
        </w:tc>
        <w:tc>
          <w:tcPr>
            <w:tcW w:w="121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上级补助收入</w:t>
            </w:r>
          </w:p>
        </w:tc>
        <w:tc>
          <w:tcPr>
            <w:tcW w:w="132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事业收入</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经营收入</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附属单位上缴收入</w:t>
            </w:r>
          </w:p>
        </w:tc>
        <w:tc>
          <w:tcPr>
            <w:tcW w:w="129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其他收入</w:t>
            </w:r>
          </w:p>
        </w:tc>
      </w:tr>
      <w:tr>
        <w:tblPrEx>
          <w:tblCellMar>
            <w:top w:w="0" w:type="dxa"/>
            <w:left w:w="108" w:type="dxa"/>
            <w:bottom w:w="0" w:type="dxa"/>
            <w:right w:w="108" w:type="dxa"/>
          </w:tblCellMar>
        </w:tblPrEx>
        <w:trPr>
          <w:gridAfter w:val="1"/>
          <w:wAfter w:w="4291" w:type="dxa"/>
          <w:trHeight w:val="312" w:hRule="atLeast"/>
        </w:trPr>
        <w:tc>
          <w:tcPr>
            <w:tcW w:w="27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ind w:right="867" w:rightChars="413"/>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功能分类科目编码</w:t>
            </w:r>
          </w:p>
        </w:tc>
        <w:tc>
          <w:tcPr>
            <w:tcW w:w="249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183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66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1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9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gridAfter w:val="1"/>
          <w:wAfter w:w="4291" w:type="dxa"/>
          <w:trHeight w:val="312" w:hRule="atLeast"/>
        </w:trPr>
        <w:tc>
          <w:tcPr>
            <w:tcW w:w="27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49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83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66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1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9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gridAfter w:val="1"/>
          <w:wAfter w:w="4291" w:type="dxa"/>
          <w:trHeight w:val="312" w:hRule="atLeast"/>
        </w:trPr>
        <w:tc>
          <w:tcPr>
            <w:tcW w:w="27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49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83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66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1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9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gridAfter w:val="1"/>
          <w:wAfter w:w="4291" w:type="dxa"/>
          <w:trHeight w:val="300" w:hRule="atLeast"/>
        </w:trPr>
        <w:tc>
          <w:tcPr>
            <w:tcW w:w="52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183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66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0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290"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r>
      <w:tr>
        <w:tblPrEx>
          <w:tblCellMar>
            <w:top w:w="0" w:type="dxa"/>
            <w:left w:w="108" w:type="dxa"/>
            <w:bottom w:w="0" w:type="dxa"/>
            <w:right w:w="108" w:type="dxa"/>
          </w:tblCellMar>
        </w:tblPrEx>
        <w:trPr>
          <w:gridAfter w:val="1"/>
          <w:wAfter w:w="4291" w:type="dxa"/>
          <w:trHeight w:val="300" w:hRule="atLeast"/>
        </w:trPr>
        <w:tc>
          <w:tcPr>
            <w:tcW w:w="52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278,482.24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174,885.22</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240.48</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103,356.54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一般公共服务支出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20106</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财政事务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2010699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其他财政事务支出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其他一般公共服务支出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2019999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其他一般公共服务支出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教育支出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253.76</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13.75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20508</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进修及培训</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253.76</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13.75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2050803</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培训支出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253.76</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13.75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265.80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265.80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基础研究</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2060203</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自然科学基金</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20605</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科技条件与服务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111.80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111.80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2060503</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科技条件专项</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111.80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111.80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20607</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科学技术普及</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14.00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14.00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2060799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其他科学技术普及支出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1"/>
          <w:wAfter w:w="4291"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科技重大项目</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9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2060902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重点研发计划</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其他科学技术支出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2069901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科技奖励</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社会保障和就业支出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28,501.13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28,467.96</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33.17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20805</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行政事业单位养老支出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28,501.13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28,467.96</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33.17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行政单位离退休</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事业单位离退休</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8,171.74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8,171.74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2080505</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机关事业单位基本养老保险缴费支出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19,727.51</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19,694.34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33.17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卫生健康支出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8,774.63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21011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行政事业单位医疗</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8,774.63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事业单位医疗</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8,477.55</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8,472.61</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2101103</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公务员医疗补助</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节能环保支出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21104</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自然生态保护</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2110499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其他自然生态保护支出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资源勘探工业信息等支出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14,163.02</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4,672.23</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9,490.79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资源勘探开发</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13,766.14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4,275.35</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9,490.79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2150107</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有色金属矿勘探和采选</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3,567.30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3,567.30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2150199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其他资源勘探业支出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10,198.85</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4,275.35</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5,923.50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制造业</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2150299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其他制造业支出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其他资源勘探工业信息等支出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2159999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其他资源勘探工业信息等支出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商业服务业等支出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21606</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涉外发展服务支出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2160699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其他涉外发展服务支出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自然资源海洋气象等支出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201,973.19</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107,998.78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240.48</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93,733.92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自然资源事务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201,973.19</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107,998.78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240.48</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93,733.92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行政运行</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6,184.59</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6,184.59</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一般行政管理事务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461.28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461.28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2200104</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自然资源规划及管理</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2200107</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自然资源社会公益服务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99.00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99.00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2200108</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自然资源行业业务管理</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自然资源调查与确权登记</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2200113</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地质矿产资源与环境调查</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4,149.00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2,513.83</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1,635.17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2200114</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地质勘查与矿产资源管理</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2200129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基础测绘与地理信息监管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736.66</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736.66</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2200150</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事业运行</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185,789.89</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93,450.65</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240.48</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92,098.75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其他自然资源事务支出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住房保障支出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12,567.93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79.96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22102</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住房改革支出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12,567.93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79.96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2210201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住房公积金</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12,567.93</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79.96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灾害防治及应急管理支出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11,725.18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11,725.18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应急管理事务</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2240199</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其他应急管理支出</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22406</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自然灾害防治</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11,625.18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11,625.18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gridAfter w:val="2"/>
          <w:wAfter w:w="4366" w:type="dxa"/>
          <w:trHeight w:val="300" w:hRule="atLeast"/>
        </w:trPr>
        <w:tc>
          <w:tcPr>
            <w:tcW w:w="27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2240601</w:t>
            </w:r>
          </w:p>
        </w:tc>
        <w:tc>
          <w:tcPr>
            <w:tcW w:w="249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地质灾害防治</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11,625.18</w:t>
            </w:r>
          </w:p>
        </w:tc>
        <w:tc>
          <w:tcPr>
            <w:tcW w:w="16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11,625.18</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4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9348" w:type="dxa"/>
            <w:gridSpan w:val="13"/>
            <w:tcBorders>
              <w:top w:val="nil"/>
              <w:left w:val="nil"/>
              <w:bottom w:val="nil"/>
              <w:right w:val="nil"/>
            </w:tcBorders>
            <w:shd w:val="clear" w:color="auto" w:fill="FFFFFF"/>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注：本表反映部门本年度取得的各项收入情况。</w:t>
            </w:r>
          </w:p>
        </w:tc>
      </w:tr>
    </w:tbl>
    <w:p>
      <w:pPr>
        <w:widowControl/>
        <w:jc w:val="left"/>
        <w:rPr>
          <w:rFonts w:ascii="Times New Roman" w:hAnsi="Times New Roman" w:eastAsia="黑体" w:cs="Times New Roman"/>
          <w:bCs/>
          <w:kern w:val="0"/>
          <w:sz w:val="32"/>
          <w:szCs w:val="32"/>
        </w:rPr>
      </w:pPr>
    </w:p>
    <w:tbl>
      <w:tblPr>
        <w:tblStyle w:val="10"/>
        <w:tblW w:w="15042" w:type="dxa"/>
        <w:tblInd w:w="93" w:type="dxa"/>
        <w:tblLayout w:type="fixed"/>
        <w:tblCellMar>
          <w:top w:w="0" w:type="dxa"/>
          <w:left w:w="108" w:type="dxa"/>
          <w:bottom w:w="0" w:type="dxa"/>
          <w:right w:w="108" w:type="dxa"/>
        </w:tblCellMar>
      </w:tblPr>
      <w:tblGrid>
        <w:gridCol w:w="1512"/>
        <w:gridCol w:w="405"/>
        <w:gridCol w:w="240"/>
        <w:gridCol w:w="2805"/>
        <w:gridCol w:w="2145"/>
        <w:gridCol w:w="1920"/>
        <w:gridCol w:w="1575"/>
        <w:gridCol w:w="1890"/>
        <w:gridCol w:w="1350"/>
        <w:gridCol w:w="1200"/>
      </w:tblGrid>
      <w:tr>
        <w:tblPrEx>
          <w:tblCellMar>
            <w:top w:w="0" w:type="dxa"/>
            <w:left w:w="108" w:type="dxa"/>
            <w:bottom w:w="0" w:type="dxa"/>
            <w:right w:w="108" w:type="dxa"/>
          </w:tblCellMar>
        </w:tblPrEx>
        <w:trPr>
          <w:trHeight w:val="375" w:hRule="atLeast"/>
        </w:trPr>
        <w:tc>
          <w:tcPr>
            <w:tcW w:w="15042" w:type="dxa"/>
            <w:gridSpan w:val="10"/>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00" w:hRule="atLeast"/>
        </w:trPr>
        <w:tc>
          <w:tcPr>
            <w:tcW w:w="151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4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8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14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92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7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9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35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200"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00" w:hRule="atLeast"/>
        </w:trPr>
        <w:tc>
          <w:tcPr>
            <w:tcW w:w="4962" w:type="dxa"/>
            <w:gridSpan w:val="4"/>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0"/>
                <w:szCs w:val="20"/>
              </w:rPr>
              <w:t>部门：湖南省地质院</w:t>
            </w:r>
          </w:p>
        </w:tc>
        <w:tc>
          <w:tcPr>
            <w:tcW w:w="214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p>
        </w:tc>
        <w:tc>
          <w:tcPr>
            <w:tcW w:w="192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57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89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550" w:type="dxa"/>
            <w:gridSpan w:val="2"/>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49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214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本年支出合计</w:t>
            </w:r>
          </w:p>
        </w:tc>
        <w:tc>
          <w:tcPr>
            <w:tcW w:w="192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基本支出</w:t>
            </w:r>
          </w:p>
        </w:tc>
        <w:tc>
          <w:tcPr>
            <w:tcW w:w="15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项目支出</w:t>
            </w:r>
          </w:p>
        </w:tc>
        <w:tc>
          <w:tcPr>
            <w:tcW w:w="189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上缴上级支出</w:t>
            </w:r>
          </w:p>
        </w:tc>
        <w:tc>
          <w:tcPr>
            <w:tcW w:w="135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经营支出</w:t>
            </w:r>
          </w:p>
        </w:tc>
        <w:tc>
          <w:tcPr>
            <w:tcW w:w="12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对附属单位补助支出</w:t>
            </w:r>
          </w:p>
        </w:tc>
      </w:tr>
      <w:tr>
        <w:tblPrEx>
          <w:tblCellMar>
            <w:top w:w="0" w:type="dxa"/>
            <w:left w:w="108" w:type="dxa"/>
            <w:bottom w:w="0" w:type="dxa"/>
            <w:right w:w="108" w:type="dxa"/>
          </w:tblCellMar>
        </w:tblPrEx>
        <w:trPr>
          <w:trHeight w:val="312" w:hRule="atLeast"/>
        </w:trPr>
        <w:tc>
          <w:tcPr>
            <w:tcW w:w="215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功能分类科目编码</w:t>
            </w:r>
          </w:p>
        </w:tc>
        <w:tc>
          <w:tcPr>
            <w:tcW w:w="2805"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214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9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89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12" w:hRule="atLeast"/>
        </w:trPr>
        <w:tc>
          <w:tcPr>
            <w:tcW w:w="21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805"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214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9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89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12" w:hRule="atLeast"/>
        </w:trPr>
        <w:tc>
          <w:tcPr>
            <w:tcW w:w="21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805"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214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92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89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5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49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214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9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5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8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35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tblPrEx>
          <w:tblCellMar>
            <w:top w:w="0" w:type="dxa"/>
            <w:left w:w="108" w:type="dxa"/>
            <w:bottom w:w="0" w:type="dxa"/>
            <w:right w:w="108" w:type="dxa"/>
          </w:tblCellMar>
        </w:tblPrEx>
        <w:trPr>
          <w:trHeight w:val="300" w:hRule="atLeast"/>
        </w:trPr>
        <w:tc>
          <w:tcPr>
            <w:tcW w:w="496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275,735.18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150,863.20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26,292.77</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98,579.21</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一般公共服务支出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20106</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财政事务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2010699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其他财政事务支出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其他一般公共服务支出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2019999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其他一般公共服务支出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教育支出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253.76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13.75</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20508</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进修及培训</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253.76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13.75</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2050803</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培训支出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253.76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13.75</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320.49</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6.00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314.49</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20605</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科技条件与服务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138.26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138.26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2060503</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科技条件专项</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138.26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138.26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20607</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科学技术普及</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9.73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8.73</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2060702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科普活动</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2060799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其他科学技术普及支出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3.73</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科技重大项目</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132.51</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132.51</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2060902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重点研发计划</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132.51</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132.51</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其他科学技术支出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5.00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2069901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科技奖励</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社会保障和就业支出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28,501.06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33.17</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20805</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行政事业单位养老支出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28,501.06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33.17</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行政单位离退休</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事业单位离退休</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8,171.67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8,171.67</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2080505</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机关事业单位基本养老保险缴费支出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19,727.51</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19,694.34</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33.17</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卫生健康支出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8,774.63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4.94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21011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行政事业单位医疗</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8,774.63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4.94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事业单位医疗</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8,477.55</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8,472.61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2101103</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公务员医疗补助</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节能环保支出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21111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污染减排</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2111101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生态环境监测与信息</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资源勘探工业信息等支出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12,585.49</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1,027.71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3,237.63</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8,320.14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资源勘探开发</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12,188.61</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1,027.71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2,840.75</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8,320.14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2150107</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有色金属矿勘探和采选</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2,858.47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2,858.47</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2150199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其他资源勘探业支出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9,330.14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1,027.71</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2,840.75</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5,461.67</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制造业</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2150299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其他制造业支出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其他资源勘探工业信息等支出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2159999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其他资源勘探工业信息等支出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商业服务业等支出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21606</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涉外发展服务支出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2160699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其他涉外发展服务支出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自然资源海洋气象等支出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198,788.77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99,863.94</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8,797.59</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90,127.24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自然资源事务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198,788.77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99,863.94</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8,797.59</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90,127.24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行政运行</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6,184.39</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6,184.39</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一般行政管理事务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385.28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385.28</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2200104</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自然资源规划及管理</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249.56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249.56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2200107</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自然资源社会公益服务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88.02</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88.02</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2200108</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自然资源行业业务管理</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223.44</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223.44</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自然资源调查与确权登记</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2200113</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地质矿产资源与环境调查</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4,145.67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2,569.97</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1,575.70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2200114</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地质勘查与矿产资源管理</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781.18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781.18</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2200122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自然资源卫星</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13.36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13.36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2200129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基础测绘与地理信息监管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714.01</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714.01</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2200150</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事业运行</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182,231.08</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93,679.55</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88,551.54</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其他自然资源事务支出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住房保障支出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12,567.93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79.96</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22102</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住房改革支出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12,567.93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79.96</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2210201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住房公积金</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12,567.93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79.96</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灾害防治及应急管理支出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13,419.09</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13,419.09</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应急管理事务</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2240199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其他应急管理支出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22406</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自然灾害防治</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13,092.93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13,092.93</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2240601</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地质灾害防治</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13,092.93</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13,092.93</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其他灾害防治及应急管理支出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226.16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226.16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15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2249999</w:t>
            </w:r>
          </w:p>
        </w:tc>
        <w:tc>
          <w:tcPr>
            <w:tcW w:w="280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其他灾害防治及应急管理支出</w:t>
            </w:r>
          </w:p>
        </w:tc>
        <w:tc>
          <w:tcPr>
            <w:tcW w:w="21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226.16</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226.16</w:t>
            </w:r>
          </w:p>
        </w:tc>
        <w:tc>
          <w:tcPr>
            <w:tcW w:w="189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3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5042" w:type="dxa"/>
            <w:gridSpan w:val="10"/>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注：本表反映部门本年度各项支出情况。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0"/>
        <w:tblW w:w="14982" w:type="dxa"/>
        <w:tblInd w:w="93" w:type="dxa"/>
        <w:tblLayout w:type="fixed"/>
        <w:tblCellMar>
          <w:top w:w="0" w:type="dxa"/>
          <w:left w:w="108" w:type="dxa"/>
          <w:bottom w:w="0" w:type="dxa"/>
          <w:right w:w="108" w:type="dxa"/>
        </w:tblCellMar>
      </w:tblPr>
      <w:tblGrid>
        <w:gridCol w:w="2907"/>
        <w:gridCol w:w="510"/>
        <w:gridCol w:w="1275"/>
        <w:gridCol w:w="3090"/>
        <w:gridCol w:w="615"/>
        <w:gridCol w:w="1485"/>
        <w:gridCol w:w="1500"/>
        <w:gridCol w:w="1965"/>
        <w:gridCol w:w="1635"/>
      </w:tblGrid>
      <w:tr>
        <w:tblPrEx>
          <w:tblCellMar>
            <w:top w:w="0" w:type="dxa"/>
            <w:left w:w="108" w:type="dxa"/>
            <w:bottom w:w="0" w:type="dxa"/>
            <w:right w:w="108" w:type="dxa"/>
          </w:tblCellMar>
        </w:tblPrEx>
        <w:trPr>
          <w:trHeight w:val="375" w:hRule="atLeast"/>
        </w:trPr>
        <w:tc>
          <w:tcPr>
            <w:tcW w:w="14982" w:type="dxa"/>
            <w:gridSpan w:val="9"/>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300" w:hRule="atLeast"/>
        </w:trPr>
        <w:tc>
          <w:tcPr>
            <w:tcW w:w="2907"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51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27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309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61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48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50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96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635"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2907"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部门：湖南省地质院</w:t>
            </w:r>
          </w:p>
        </w:tc>
        <w:tc>
          <w:tcPr>
            <w:tcW w:w="5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27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309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61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48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50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96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635"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469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收     入</w:t>
            </w:r>
          </w:p>
        </w:tc>
        <w:tc>
          <w:tcPr>
            <w:tcW w:w="10290" w:type="dxa"/>
            <w:gridSpan w:val="6"/>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     出</w:t>
            </w:r>
          </w:p>
        </w:tc>
      </w:tr>
      <w:tr>
        <w:tblPrEx>
          <w:tblCellMar>
            <w:top w:w="0" w:type="dxa"/>
            <w:left w:w="108" w:type="dxa"/>
            <w:bottom w:w="0" w:type="dxa"/>
            <w:right w:w="108" w:type="dxa"/>
          </w:tblCellMar>
        </w:tblPrEx>
        <w:trPr>
          <w:trHeight w:val="312" w:hRule="atLeast"/>
        </w:trPr>
        <w:tc>
          <w:tcPr>
            <w:tcW w:w="290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5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行次</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金额</w:t>
            </w:r>
          </w:p>
        </w:tc>
        <w:tc>
          <w:tcPr>
            <w:tcW w:w="3090" w:type="dxa"/>
            <w:vMerge w:val="restart"/>
            <w:tcBorders>
              <w:top w:val="nil"/>
              <w:left w:val="nil"/>
              <w:bottom w:val="single" w:color="000000" w:sz="4" w:space="0"/>
              <w:right w:val="single" w:color="000000" w:sz="4" w:space="0"/>
            </w:tcBorders>
            <w:shd w:val="clear" w:color="auto" w:fill="auto"/>
            <w:vAlign w:val="bottom"/>
          </w:tcPr>
          <w:p>
            <w:pPr>
              <w:widowControl/>
              <w:textAlignment w:val="bottom"/>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61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行次</w:t>
            </w:r>
          </w:p>
        </w:tc>
        <w:tc>
          <w:tcPr>
            <w:tcW w:w="1485"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合计</w:t>
            </w:r>
          </w:p>
        </w:tc>
        <w:tc>
          <w:tcPr>
            <w:tcW w:w="15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一般公共预算财政拨款</w:t>
            </w:r>
          </w:p>
        </w:tc>
        <w:tc>
          <w:tcPr>
            <w:tcW w:w="19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政府性基金预算财政拨款</w:t>
            </w:r>
          </w:p>
        </w:tc>
        <w:tc>
          <w:tcPr>
            <w:tcW w:w="16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国有资本经营预算财政拨款</w:t>
            </w:r>
          </w:p>
        </w:tc>
      </w:tr>
      <w:tr>
        <w:tblPrEx>
          <w:tblCellMar>
            <w:top w:w="0" w:type="dxa"/>
            <w:left w:w="108" w:type="dxa"/>
            <w:bottom w:w="0" w:type="dxa"/>
            <w:right w:w="108" w:type="dxa"/>
          </w:tblCellMar>
        </w:tblPrEx>
        <w:trPr>
          <w:trHeight w:val="585" w:hRule="atLeast"/>
        </w:trPr>
        <w:tc>
          <w:tcPr>
            <w:tcW w:w="290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color w:val="000000"/>
                <w:szCs w:val="21"/>
              </w:rPr>
            </w:pPr>
          </w:p>
        </w:tc>
        <w:tc>
          <w:tcPr>
            <w:tcW w:w="51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3090" w:type="dxa"/>
            <w:vMerge w:val="continue"/>
            <w:tcBorders>
              <w:top w:val="nil"/>
              <w:left w:val="nil"/>
              <w:bottom w:val="single" w:color="000000" w:sz="4" w:space="0"/>
              <w:right w:val="single" w:color="000000" w:sz="4" w:space="0"/>
            </w:tcBorders>
            <w:shd w:val="clear" w:color="auto" w:fill="auto"/>
            <w:vAlign w:val="bottom"/>
          </w:tcPr>
          <w:p>
            <w:pPr>
              <w:rPr>
                <w:rFonts w:asciiTheme="minorEastAsia" w:hAnsiTheme="minorEastAsia" w:cstheme="minorEastAsia"/>
                <w:color w:val="000000"/>
                <w:szCs w:val="21"/>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485"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63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510" w:type="dxa"/>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2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3090" w:type="dxa"/>
            <w:tcBorders>
              <w:top w:val="nil"/>
              <w:left w:val="nil"/>
              <w:bottom w:val="single" w:color="000000" w:sz="4" w:space="0"/>
              <w:right w:val="single" w:color="000000" w:sz="4" w:space="0"/>
            </w:tcBorders>
            <w:shd w:val="clear" w:color="auto" w:fill="auto"/>
            <w:noWrap/>
            <w:vAlign w:val="bottom"/>
          </w:tcPr>
          <w:p>
            <w:pPr>
              <w:widowControl/>
              <w:textAlignment w:val="bottom"/>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615" w:type="dxa"/>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14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一、一般公共预算财政拨款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174,885.22</w:t>
            </w: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一、一般公共服务支出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116.60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116.60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二、政府性基金预算财政拨款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二、外交支出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三、国有资本经营财政拨款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三、国防支出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四、公共安全支出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五、教育支出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六、科学技术支出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320.49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320.49</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七、文化旅游体育与传媒支出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八、社会保障和就业支出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28,467.89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28,467.89</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九、卫生健康支出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8,769.69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8,769.69</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十、节能环保支出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十一、城乡社区支出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十二、农林水支出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十三、交通运输支出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十四、资源勘探工业信息等支出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4,175.86</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4,175.86</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十五、商业服务业等支出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十六、金融支出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十七、援助其他地区支出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十八、自然资源海洋气象等支出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108,395.31</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108,395.31</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十九、住房保障支出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二十、粮油物资储备支出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二十一、国有资本经营预算支出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二十二、灾害防治及应急管理支出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13,419.09</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13,419.09</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二十三、其他支出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b/>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二十四、债务还本支出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二十五、债务付息支出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二十六、抗疫特别国债安排的支出</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本年收入合计</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174,885.22</w:t>
            </w:r>
          </w:p>
        </w:tc>
        <w:tc>
          <w:tcPr>
            <w:tcW w:w="309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本年支出合计</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176,800.27</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176,800.27</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年初财政拨款结转和结余</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7,691.51</w:t>
            </w:r>
          </w:p>
        </w:tc>
        <w:tc>
          <w:tcPr>
            <w:tcW w:w="309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年末财政拨款结转和结余</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5,776.46</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5,776.46</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一般公共预算财政拨款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7,691.51</w:t>
            </w:r>
          </w:p>
        </w:tc>
        <w:tc>
          <w:tcPr>
            <w:tcW w:w="309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148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96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63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政府性基金预算财政拨款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309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148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96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63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国有资本经营预算财政拨款</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309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63</w:t>
            </w:r>
          </w:p>
        </w:tc>
        <w:tc>
          <w:tcPr>
            <w:tcW w:w="148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96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63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2907"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总计</w:t>
            </w:r>
          </w:p>
        </w:tc>
        <w:tc>
          <w:tcPr>
            <w:tcW w:w="5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182,576.73</w:t>
            </w:r>
          </w:p>
        </w:tc>
        <w:tc>
          <w:tcPr>
            <w:tcW w:w="3090" w:type="dxa"/>
            <w:tcBorders>
              <w:top w:val="nil"/>
              <w:left w:val="nil"/>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总计</w:t>
            </w:r>
          </w:p>
        </w:tc>
        <w:tc>
          <w:tcPr>
            <w:tcW w:w="6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182,576.73</w:t>
            </w:r>
          </w:p>
        </w:tc>
        <w:tc>
          <w:tcPr>
            <w:tcW w:w="15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182,576.73</w:t>
            </w:r>
          </w:p>
        </w:tc>
        <w:tc>
          <w:tcPr>
            <w:tcW w:w="19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3347" w:type="dxa"/>
            <w:gridSpan w:val="8"/>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注：本表反映部门本年度一般公共预算财政拨款、政府性基金预算财政拨款和国有资本经营预算财政拨款的总收支和年末结转结余情况。</w:t>
            </w:r>
          </w:p>
        </w:tc>
        <w:tc>
          <w:tcPr>
            <w:tcW w:w="163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10"/>
        <w:tblW w:w="15034" w:type="dxa"/>
        <w:tblInd w:w="93" w:type="dxa"/>
        <w:tblLayout w:type="fixed"/>
        <w:tblCellMar>
          <w:top w:w="0" w:type="dxa"/>
          <w:left w:w="108" w:type="dxa"/>
          <w:bottom w:w="0" w:type="dxa"/>
          <w:right w:w="108" w:type="dxa"/>
        </w:tblCellMar>
      </w:tblPr>
      <w:tblGrid>
        <w:gridCol w:w="2309"/>
        <w:gridCol w:w="236"/>
        <w:gridCol w:w="378"/>
        <w:gridCol w:w="3803"/>
        <w:gridCol w:w="3381"/>
        <w:gridCol w:w="2375"/>
        <w:gridCol w:w="2552"/>
      </w:tblGrid>
      <w:tr>
        <w:tblPrEx>
          <w:tblCellMar>
            <w:top w:w="0" w:type="dxa"/>
            <w:left w:w="108" w:type="dxa"/>
            <w:bottom w:w="0" w:type="dxa"/>
            <w:right w:w="108" w:type="dxa"/>
          </w:tblCellMar>
        </w:tblPrEx>
        <w:trPr>
          <w:trHeight w:val="375" w:hRule="atLeast"/>
        </w:trPr>
        <w:tc>
          <w:tcPr>
            <w:tcW w:w="15034" w:type="dxa"/>
            <w:gridSpan w:val="7"/>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bookmarkStart w:id="0" w:name="RANGE!A1:I22"/>
            <w:bookmarkEnd w:id="0"/>
            <w:bookmarkStart w:id="1" w:name="RANGE!A1:F16"/>
            <w:r>
              <w:rPr>
                <w:rFonts w:hint="eastAsia" w:ascii="华文中宋" w:hAnsi="华文中宋" w:eastAsia="华文中宋" w:cs="宋体"/>
                <w:color w:val="000000"/>
                <w:kern w:val="0"/>
                <w:sz w:val="32"/>
                <w:szCs w:val="32"/>
              </w:rPr>
              <w:t>一般公共预算财政拨款支出决算表</w:t>
            </w:r>
          </w:p>
        </w:tc>
      </w:tr>
      <w:tr>
        <w:tblPrEx>
          <w:tblCellMar>
            <w:top w:w="0" w:type="dxa"/>
            <w:left w:w="108" w:type="dxa"/>
            <w:bottom w:w="0" w:type="dxa"/>
            <w:right w:w="108" w:type="dxa"/>
          </w:tblCellMar>
        </w:tblPrEx>
        <w:trPr>
          <w:trHeight w:val="300" w:hRule="atLeast"/>
        </w:trPr>
        <w:tc>
          <w:tcPr>
            <w:tcW w:w="23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3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78"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80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38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37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552"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2310"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rPr>
              <w:t>部门：湖南省地质院</w:t>
            </w:r>
          </w:p>
        </w:tc>
        <w:tc>
          <w:tcPr>
            <w:tcW w:w="234"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378"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3804"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p>
        </w:tc>
        <w:tc>
          <w:tcPr>
            <w:tcW w:w="3381"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37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552"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672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830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本年支出</w:t>
            </w:r>
          </w:p>
        </w:tc>
      </w:tr>
      <w:tr>
        <w:tblPrEx>
          <w:tblCellMar>
            <w:top w:w="0" w:type="dxa"/>
            <w:left w:w="108" w:type="dxa"/>
            <w:bottom w:w="0" w:type="dxa"/>
            <w:right w:w="108" w:type="dxa"/>
          </w:tblCellMar>
        </w:tblPrEx>
        <w:trPr>
          <w:trHeight w:val="312" w:hRule="atLeast"/>
        </w:trPr>
        <w:tc>
          <w:tcPr>
            <w:tcW w:w="292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功能分类科目编码</w:t>
            </w:r>
          </w:p>
        </w:tc>
        <w:tc>
          <w:tcPr>
            <w:tcW w:w="3804"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338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小计</w:t>
            </w:r>
          </w:p>
        </w:tc>
        <w:tc>
          <w:tcPr>
            <w:tcW w:w="23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基本支出</w:t>
            </w:r>
          </w:p>
        </w:tc>
        <w:tc>
          <w:tcPr>
            <w:tcW w:w="255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项目支出</w:t>
            </w:r>
          </w:p>
        </w:tc>
      </w:tr>
      <w:tr>
        <w:tblPrEx>
          <w:tblCellMar>
            <w:top w:w="0" w:type="dxa"/>
            <w:left w:w="108" w:type="dxa"/>
            <w:bottom w:w="0" w:type="dxa"/>
            <w:right w:w="108" w:type="dxa"/>
          </w:tblCellMar>
        </w:tblPrEx>
        <w:trPr>
          <w:trHeight w:val="312" w:hRule="atLeast"/>
        </w:trPr>
        <w:tc>
          <w:tcPr>
            <w:tcW w:w="292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380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3381"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3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552"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12" w:hRule="atLeast"/>
        </w:trPr>
        <w:tc>
          <w:tcPr>
            <w:tcW w:w="292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380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Theme="minorEastAsia" w:hAnsiTheme="minorEastAsia" w:cstheme="minorEastAsia"/>
                <w:color w:val="000000"/>
                <w:szCs w:val="21"/>
              </w:rPr>
            </w:pPr>
          </w:p>
        </w:tc>
        <w:tc>
          <w:tcPr>
            <w:tcW w:w="3381"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37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552"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672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栏次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r>
      <w:tr>
        <w:tblPrEx>
          <w:tblCellMar>
            <w:top w:w="0" w:type="dxa"/>
            <w:left w:w="108" w:type="dxa"/>
            <w:bottom w:w="0" w:type="dxa"/>
            <w:right w:w="108" w:type="dxa"/>
          </w:tblCellMar>
        </w:tblPrEx>
        <w:trPr>
          <w:trHeight w:val="300" w:hRule="atLeast"/>
        </w:trPr>
        <w:tc>
          <w:tcPr>
            <w:tcW w:w="672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176,800.27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150,623.37</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26,176.90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一般公共服务支出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116.60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20106</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财政事务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2010699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其他财政事务支出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20199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其他一般公共服务支出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114.60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2019999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其他一般公共服务支出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114.60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教育支出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20508</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进修及培训</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240.01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2050803</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培训支出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240.01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320.49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6.00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314.49</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基础研究</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2060203</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自然科学基金</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20605</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科技条件与服务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138.26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138.26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2060503</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科技条件专项</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138.26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138.26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20607</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科学技术普及</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9.73</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8.73</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2060702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科普活动</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2060799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其他科学技术普及支出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4.73</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3.73</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20609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科技重大项目</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132.51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132.51</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2060902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重点研发计划</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132.51</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20699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其他科学技术支出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5.00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2069901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科技奖励</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社会保障和就业支出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20805</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行政事业单位养老支出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28,467.89</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行政单位离退休</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601.88</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事业单位离退休</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8,171.67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8,171.67</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2080505</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机关事业单位基本养老保险缴费支出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19,694.34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19,694.34</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卫生健康支出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21011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行政事业单位医疗</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8,769.69</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事业单位医疗</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8,472.61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8,472.61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2101103</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公务员医疗补助</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297.08</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节能环保支出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21104</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自然生态保护</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2110499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其他自然生态保护支出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21111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污染减排</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292.36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2111101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生态环境监测与信息</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292.36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资源勘探工业信息等支出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4,175.86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1,027.71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3,148.15</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资源勘探开发</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3,778.98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1,027.71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2,751.27</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2150199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其他资源勘探业支出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3,778.98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1,027.71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2,751.27</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制造业</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38.34</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2150299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其他制造业支出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38.34</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21599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其他资源勘探工业信息等支出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358.54</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2159999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其他资源勘探工业信息等支出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358.54</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商业服务业等支出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21606</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涉外发展服务支出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115.00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2160699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其他涉外发展服务支出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自然资源海洋气象等支出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108,395.31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99,624.10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8,771.21</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22001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自然资源事务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108,395.31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99,624.10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8,771.21</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行政运行</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6,184.39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6,184.39</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一般行政管理事务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385.28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385.28</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2200104</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自然资源规划及管理</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249.56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249.56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2200107</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自然资源社会公益服务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88.02</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88.02</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2200108</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自然资源行业业务管理</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223.44</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223.44</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2200109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自然资源调查与确权登记</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3,727.00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2200113</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地质矿产资源与环境调查</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2,543.59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2,543.59</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2200114</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地质勘查与矿产资源管理</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781.18</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781.18</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2200122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自然资源卫星</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13.36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13.36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2200129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基础测绘与地理信息监管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714.01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714.01</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2200150</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事业运行</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93,439.71</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93,439.71</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2200199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其他自然资源事务支出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45.77</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住房保障支出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22102</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住房改革支出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12,487.97</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2210201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住房公积金</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12,487.97</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灾害防治及应急管理支出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13,419.09</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13,419.09</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应急管理事务</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100.00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2240199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其他应急管理支出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22406</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自然灾害防治</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13,092.93</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13,092.93</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2240601</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地质灾害防治</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13,092.93</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13,092.93</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22499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其他灾害防治及应急管理支出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226.16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226.16</w:t>
            </w:r>
          </w:p>
        </w:tc>
      </w:tr>
      <w:tr>
        <w:tblPrEx>
          <w:tblCellMar>
            <w:top w:w="0" w:type="dxa"/>
            <w:left w:w="108" w:type="dxa"/>
            <w:bottom w:w="0" w:type="dxa"/>
            <w:right w:w="108" w:type="dxa"/>
          </w:tblCellMar>
        </w:tblPrEx>
        <w:trPr>
          <w:trHeight w:val="300" w:hRule="atLeast"/>
        </w:trPr>
        <w:tc>
          <w:tcPr>
            <w:tcW w:w="2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2249999</w:t>
            </w:r>
          </w:p>
        </w:tc>
        <w:tc>
          <w:tcPr>
            <w:tcW w:w="380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其他灾害防治及应急管理支出</w:t>
            </w:r>
          </w:p>
        </w:tc>
        <w:tc>
          <w:tcPr>
            <w:tcW w:w="33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226.16</w:t>
            </w:r>
          </w:p>
        </w:tc>
        <w:tc>
          <w:tcPr>
            <w:tcW w:w="23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226.16</w:t>
            </w:r>
          </w:p>
        </w:tc>
      </w:tr>
      <w:tr>
        <w:tblPrEx>
          <w:tblCellMar>
            <w:top w:w="0" w:type="dxa"/>
            <w:left w:w="108" w:type="dxa"/>
            <w:bottom w:w="0" w:type="dxa"/>
            <w:right w:w="108" w:type="dxa"/>
          </w:tblCellMar>
        </w:tblPrEx>
        <w:trPr>
          <w:trHeight w:val="300" w:hRule="atLeast"/>
        </w:trPr>
        <w:tc>
          <w:tcPr>
            <w:tcW w:w="15034" w:type="dxa"/>
            <w:gridSpan w:val="7"/>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tbl>
      <w:tblPr>
        <w:tblStyle w:val="10"/>
        <w:tblW w:w="14967" w:type="dxa"/>
        <w:tblInd w:w="93" w:type="dxa"/>
        <w:tblLayout w:type="fixed"/>
        <w:tblCellMar>
          <w:top w:w="0" w:type="dxa"/>
          <w:left w:w="108" w:type="dxa"/>
          <w:bottom w:w="0" w:type="dxa"/>
          <w:right w:w="108" w:type="dxa"/>
        </w:tblCellMar>
      </w:tblPr>
      <w:tblGrid>
        <w:gridCol w:w="1212"/>
        <w:gridCol w:w="2115"/>
        <w:gridCol w:w="1380"/>
        <w:gridCol w:w="1065"/>
        <w:gridCol w:w="2280"/>
        <w:gridCol w:w="1470"/>
        <w:gridCol w:w="1110"/>
        <w:gridCol w:w="2640"/>
        <w:gridCol w:w="1695"/>
      </w:tblGrid>
      <w:tr>
        <w:tblPrEx>
          <w:tblCellMar>
            <w:top w:w="0" w:type="dxa"/>
            <w:left w:w="108" w:type="dxa"/>
            <w:bottom w:w="0" w:type="dxa"/>
            <w:right w:w="108" w:type="dxa"/>
          </w:tblCellMar>
        </w:tblPrEx>
        <w:trPr>
          <w:trHeight w:val="375" w:hRule="atLeast"/>
        </w:trPr>
        <w:tc>
          <w:tcPr>
            <w:tcW w:w="14967" w:type="dxa"/>
            <w:gridSpan w:val="9"/>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华文中宋" w:hAnsi="华文中宋" w:eastAsia="华文中宋" w:cs="宋体"/>
                <w:color w:val="000000"/>
                <w:kern w:val="0"/>
                <w:sz w:val="32"/>
                <w:szCs w:val="32"/>
              </w:rPr>
              <w:t>一般公共预算财政拨款基本支出决算明细表</w:t>
            </w:r>
          </w:p>
        </w:tc>
      </w:tr>
      <w:tr>
        <w:tblPrEx>
          <w:tblCellMar>
            <w:top w:w="0" w:type="dxa"/>
            <w:left w:w="108" w:type="dxa"/>
            <w:bottom w:w="0" w:type="dxa"/>
            <w:right w:w="108" w:type="dxa"/>
          </w:tblCellMar>
        </w:tblPrEx>
        <w:trPr>
          <w:trHeight w:val="300" w:hRule="atLeast"/>
        </w:trPr>
        <w:tc>
          <w:tcPr>
            <w:tcW w:w="121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11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38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6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28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47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6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95"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300" w:hRule="atLeast"/>
        </w:trPr>
        <w:tc>
          <w:tcPr>
            <w:tcW w:w="3327" w:type="dxa"/>
            <w:gridSpan w:val="2"/>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部门：湖南省地质院</w:t>
            </w:r>
          </w:p>
        </w:tc>
        <w:tc>
          <w:tcPr>
            <w:tcW w:w="138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06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280" w:type="dxa"/>
            <w:tcBorders>
              <w:top w:val="nil"/>
              <w:left w:val="nil"/>
              <w:bottom w:val="single" w:color="808080" w:sz="4" w:space="0"/>
              <w:right w:val="nil"/>
            </w:tcBorders>
            <w:shd w:val="clear" w:color="auto" w:fill="auto"/>
            <w:noWrap/>
            <w:vAlign w:val="center"/>
          </w:tcPr>
          <w:p>
            <w:pPr>
              <w:jc w:val="center"/>
              <w:rPr>
                <w:rFonts w:ascii="宋体" w:hAnsi="宋体" w:eastAsia="宋体" w:cs="宋体"/>
                <w:color w:val="000000"/>
                <w:sz w:val="22"/>
              </w:rPr>
            </w:pPr>
          </w:p>
        </w:tc>
        <w:tc>
          <w:tcPr>
            <w:tcW w:w="147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64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695"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2" w:hRule="atLeast"/>
        </w:trPr>
        <w:tc>
          <w:tcPr>
            <w:tcW w:w="12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经济分类科目编码</w:t>
            </w:r>
          </w:p>
        </w:tc>
        <w:tc>
          <w:tcPr>
            <w:tcW w:w="211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13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决算数</w:t>
            </w:r>
          </w:p>
        </w:tc>
        <w:tc>
          <w:tcPr>
            <w:tcW w:w="1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经济分类科目编码</w:t>
            </w:r>
          </w:p>
        </w:tc>
        <w:tc>
          <w:tcPr>
            <w:tcW w:w="22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14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决算数</w:t>
            </w:r>
          </w:p>
        </w:tc>
        <w:tc>
          <w:tcPr>
            <w:tcW w:w="11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经济分类科目编码</w:t>
            </w:r>
          </w:p>
        </w:tc>
        <w:tc>
          <w:tcPr>
            <w:tcW w:w="26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科目名称</w:t>
            </w:r>
          </w:p>
        </w:tc>
        <w:tc>
          <w:tcPr>
            <w:tcW w:w="169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决算数</w:t>
            </w:r>
          </w:p>
        </w:tc>
      </w:tr>
      <w:tr>
        <w:tblPrEx>
          <w:tblCellMar>
            <w:top w:w="0" w:type="dxa"/>
            <w:left w:w="108" w:type="dxa"/>
            <w:bottom w:w="0" w:type="dxa"/>
            <w:right w:w="108" w:type="dxa"/>
          </w:tblCellMar>
        </w:tblPrEx>
        <w:trPr>
          <w:trHeight w:val="312" w:hRule="atLeast"/>
        </w:trPr>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11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38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28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47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2640"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c>
          <w:tcPr>
            <w:tcW w:w="1695" w:type="dxa"/>
            <w:vMerge w:val="continue"/>
            <w:tcBorders>
              <w:top w:val="nil"/>
              <w:left w:val="nil"/>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工资福利支出</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130,240.25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商品和服务支出</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8,887.26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307</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债务利息及费用支出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30101</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基本工资</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54,373.89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30201</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办公费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424.80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30701</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国内债务付息</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30102</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津贴补贴</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6,582.45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30202</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印刷费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86.45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30702</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国外债务付息</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30103</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奖金</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753.57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30203</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咨询费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27.70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资本性支出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30106</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伙食补助费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135.54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30204</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手续费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31001</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房屋建筑物购建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30107</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绩效工资</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26,425.69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30205</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水费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121.81</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31002</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办公设备购置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30108</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机关事业单位基本养老保险缴费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18,024.30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30206</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电费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471.68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31003</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专用设备购置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30109</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职业年金缴费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81.57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30207</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邮电费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66.02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31005</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基础设施建设</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30110</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职工基本医疗保险缴费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8,528.57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30208</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取暖费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126.12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31006</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大型修缮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30111</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公务员医疗补助缴费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413.37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30209</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物业管理费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1,123.45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31007</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信息网络及软件购置更新</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30112</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其他社会保障缴费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1,755.55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30211</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差旅费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796.76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31008</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物资储备</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30113</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住房公积金</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12,660.76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30212</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因公出国（境）费用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31009</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土地补偿</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30114</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医疗费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157.00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30213</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维修（护）费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293.11</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31010</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安置补助</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30199</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其他工资福利支出</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347.99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30214</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租赁费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52.80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31011</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地上附着物和青苗补偿</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对个人和家庭的补助</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11,395.86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30215</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会议费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73.85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31012</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拆迁补偿</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30301</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离休费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809.60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30216</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培训费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253.11</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31013</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公务用车购置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30302</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退休费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2,974.73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30217</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公务接待费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52.88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31019</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其他交通工具购置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30303</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退职（役）费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30218</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专用材料费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31021</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文物和陈列品购置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30304</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抚恤金</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2,405.78</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30224</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被装购置费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31022</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无形资产购置</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30305</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生活补助</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3,035.96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30225</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专用燃料费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31099</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其他资本性支出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30306</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救济费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13.19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30226</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劳务费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421.06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399</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其他支出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30307</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医疗费补助</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736.50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30227</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委托业务费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39906</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赠与</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30308</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助学金</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30228</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工会经费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1,011.38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39907</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国家赔偿费用支出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30309</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奖励金</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591.62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30229</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福利费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742.72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39908</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对民间非营利组织和群众性自治组织补贴</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30310</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个人农业生产补贴</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30231</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公务用车运行维护费</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258.08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39999</w:t>
            </w:r>
          </w:p>
        </w:tc>
        <w:tc>
          <w:tcPr>
            <w:tcW w:w="264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其他支出</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30311</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代缴社会保险费</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30239</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其他交通费用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363.12</w:t>
            </w:r>
          </w:p>
        </w:tc>
        <w:tc>
          <w:tcPr>
            <w:tcW w:w="111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69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30399</w:t>
            </w:r>
          </w:p>
        </w:tc>
        <w:tc>
          <w:tcPr>
            <w:tcW w:w="211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其他对个人和家庭的补助</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828.47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30240</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税金及附加费用</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16.32</w:t>
            </w:r>
          </w:p>
        </w:tc>
        <w:tc>
          <w:tcPr>
            <w:tcW w:w="111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69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121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2115"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c>
          <w:tcPr>
            <w:tcW w:w="1065"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30299</w:t>
            </w:r>
          </w:p>
        </w:tc>
        <w:tc>
          <w:tcPr>
            <w:tcW w:w="228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其他商品和服务支出</w:t>
            </w:r>
          </w:p>
        </w:tc>
        <w:tc>
          <w:tcPr>
            <w:tcW w:w="14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2,090.45</w:t>
            </w:r>
          </w:p>
        </w:tc>
        <w:tc>
          <w:tcPr>
            <w:tcW w:w="111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2640" w:type="dxa"/>
            <w:tcBorders>
              <w:top w:val="nil"/>
              <w:left w:val="nil"/>
              <w:bottom w:val="single" w:color="000000" w:sz="4" w:space="0"/>
              <w:right w:val="single" w:color="000000" w:sz="4" w:space="0"/>
            </w:tcBorders>
            <w:shd w:val="clear" w:color="auto" w:fill="auto"/>
            <w:noWrap/>
            <w:vAlign w:val="center"/>
          </w:tcPr>
          <w:p>
            <w:pPr>
              <w:jc w:val="left"/>
              <w:rPr>
                <w:rFonts w:asciiTheme="minorEastAsia" w:hAnsiTheme="minorEastAsia" w:cstheme="minorEastAsia"/>
                <w:color w:val="000000"/>
                <w:szCs w:val="21"/>
              </w:rPr>
            </w:pPr>
          </w:p>
        </w:tc>
        <w:tc>
          <w:tcPr>
            <w:tcW w:w="1695" w:type="dxa"/>
            <w:tcBorders>
              <w:top w:val="nil"/>
              <w:left w:val="nil"/>
              <w:bottom w:val="single" w:color="000000" w:sz="4" w:space="0"/>
              <w:right w:val="single" w:color="000000" w:sz="4" w:space="0"/>
            </w:tcBorders>
            <w:shd w:val="clear" w:color="auto" w:fill="auto"/>
            <w:noWrap/>
            <w:vAlign w:val="center"/>
          </w:tcPr>
          <w:p>
            <w:pPr>
              <w:jc w:val="right"/>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300" w:hRule="atLeast"/>
        </w:trPr>
        <w:tc>
          <w:tcPr>
            <w:tcW w:w="332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人员经费合计</w:t>
            </w:r>
          </w:p>
        </w:tc>
        <w:tc>
          <w:tcPr>
            <w:tcW w:w="13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141,636.11</w:t>
            </w:r>
          </w:p>
        </w:tc>
        <w:tc>
          <w:tcPr>
            <w:tcW w:w="8565"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公用经费合计</w:t>
            </w:r>
          </w:p>
        </w:tc>
        <w:tc>
          <w:tcPr>
            <w:tcW w:w="16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8,987.26</w:t>
            </w:r>
          </w:p>
        </w:tc>
      </w:tr>
      <w:tr>
        <w:tblPrEx>
          <w:tblCellMar>
            <w:top w:w="0" w:type="dxa"/>
            <w:left w:w="108" w:type="dxa"/>
            <w:bottom w:w="0" w:type="dxa"/>
            <w:right w:w="108" w:type="dxa"/>
          </w:tblCellMar>
        </w:tblPrEx>
        <w:trPr>
          <w:trHeight w:val="300" w:hRule="atLeast"/>
        </w:trPr>
        <w:tc>
          <w:tcPr>
            <w:tcW w:w="14967" w:type="dxa"/>
            <w:gridSpan w:val="9"/>
            <w:tcBorders>
              <w:top w:val="nil"/>
              <w:left w:val="nil"/>
              <w:bottom w:val="nil"/>
              <w:right w:val="nil"/>
            </w:tcBorders>
            <w:shd w:val="clear" w:color="auto" w:fill="auto"/>
            <w:noWrap/>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湖南省地质院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金额</w:t>
      </w:r>
      <w:r>
        <w:rPr>
          <w:rFonts w:ascii="Times New Roman" w:hAnsi="Times New Roman" w:eastAsia="仿宋_GB2312" w:cs="Times New Roman"/>
          <w:color w:val="000000"/>
          <w:kern w:val="0"/>
          <w:szCs w:val="21"/>
        </w:rPr>
        <w:t>单位：万元</w:t>
      </w:r>
    </w:p>
    <w:tbl>
      <w:tblPr>
        <w:tblStyle w:val="10"/>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center"/>
              <w:rPr>
                <w:rFonts w:asciiTheme="minorEastAsia" w:hAnsi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center"/>
              <w:rPr>
                <w:rFonts w:asciiTheme="minorEastAsia" w:hAnsi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center"/>
              <w:rPr>
                <w:rFonts w:asciiTheme="minorEastAsia" w:hAnsi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427.44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76.00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260.16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260.16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91.28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310.97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258.08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258.08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52.88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湖南省地质院</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金额</w:t>
      </w:r>
      <w:r>
        <w:rPr>
          <w:rFonts w:ascii="Times New Roman" w:hAnsi="Times New Roman" w:eastAsia="仿宋_GB2312" w:cs="Times New Roman"/>
          <w:color w:val="000000"/>
          <w:kern w:val="0"/>
          <w:szCs w:val="21"/>
        </w:rPr>
        <w:t>单位：万元</w:t>
      </w:r>
    </w:p>
    <w:tbl>
      <w:tblPr>
        <w:tblStyle w:val="10"/>
        <w:tblW w:w="148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 xml:space="preserve">项 </w:t>
            </w:r>
            <w:r>
              <w:rPr>
                <w:rFonts w:hint="eastAsia" w:asciiTheme="minorEastAsia" w:hAnsiTheme="minorEastAsia" w:cstheme="minorEastAsia"/>
                <w:b/>
                <w:color w:val="000000"/>
                <w:kern w:val="0"/>
                <w:szCs w:val="21"/>
              </w:rPr>
              <w:t xml:space="preserve">   </w:t>
            </w:r>
            <w:r>
              <w:rPr>
                <w:rFonts w:hint="eastAsia" w:asciiTheme="minorEastAsia" w:hAnsiTheme="minorEastAsia" w:cstheme="minorEastAsia"/>
                <w:b/>
                <w:kern w:val="0"/>
                <w:szCs w:val="21"/>
              </w:rPr>
              <w:t>目</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年初结转和结余</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本年收入</w:t>
            </w:r>
          </w:p>
        </w:tc>
        <w:tc>
          <w:tcPr>
            <w:tcW w:w="6000" w:type="dxa"/>
            <w:gridSpan w:val="3"/>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本年支出</w:t>
            </w:r>
          </w:p>
        </w:tc>
        <w:tc>
          <w:tcPr>
            <w:tcW w:w="2378"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功能分类科目编码</w:t>
            </w:r>
          </w:p>
        </w:tc>
        <w:tc>
          <w:tcPr>
            <w:tcW w:w="132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科目名称</w:t>
            </w:r>
          </w:p>
        </w:tc>
        <w:tc>
          <w:tcPr>
            <w:tcW w:w="2000" w:type="dxa"/>
            <w:vMerge w:val="continue"/>
            <w:vAlign w:val="center"/>
          </w:tcPr>
          <w:p>
            <w:pPr>
              <w:widowControl/>
              <w:jc w:val="left"/>
              <w:rPr>
                <w:rFonts w:asciiTheme="minorEastAsia" w:hAnsiTheme="minorEastAsia" w:cstheme="minorEastAsia"/>
                <w:b/>
                <w:kern w:val="0"/>
                <w:szCs w:val="21"/>
              </w:rPr>
            </w:pPr>
          </w:p>
        </w:tc>
        <w:tc>
          <w:tcPr>
            <w:tcW w:w="2000" w:type="dxa"/>
            <w:vMerge w:val="continue"/>
            <w:vAlign w:val="center"/>
          </w:tcPr>
          <w:p>
            <w:pPr>
              <w:widowControl/>
              <w:jc w:val="left"/>
              <w:rPr>
                <w:rFonts w:asciiTheme="minorEastAsia" w:hAnsiTheme="minorEastAsia" w:cstheme="minorEastAsia"/>
                <w:b/>
                <w:kern w:val="0"/>
                <w:szCs w:val="21"/>
              </w:rPr>
            </w:pP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小计</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 xml:space="preserve">基本支出  </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项目支出</w:t>
            </w:r>
          </w:p>
        </w:tc>
        <w:tc>
          <w:tcPr>
            <w:tcW w:w="2378" w:type="dxa"/>
            <w:vMerge w:val="continue"/>
            <w:vAlign w:val="center"/>
          </w:tcPr>
          <w:p>
            <w:pPr>
              <w:widowControl/>
              <w:jc w:val="left"/>
              <w:rPr>
                <w:rFonts w:asciiTheme="minorEastAsia" w:hAnsiTheme="minorEastAsia" w:cs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heme="minorEastAsia" w:hAnsiTheme="minorEastAsia" w:cstheme="minorEastAsia"/>
                <w:kern w:val="0"/>
                <w:szCs w:val="21"/>
              </w:rPr>
            </w:pPr>
          </w:p>
        </w:tc>
        <w:tc>
          <w:tcPr>
            <w:tcW w:w="132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378" w:type="dxa"/>
            <w:vMerge w:val="continue"/>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heme="minorEastAsia" w:hAnsiTheme="minorEastAsia" w:cstheme="minorEastAsia"/>
                <w:kern w:val="0"/>
                <w:szCs w:val="21"/>
              </w:rPr>
            </w:pPr>
          </w:p>
        </w:tc>
        <w:tc>
          <w:tcPr>
            <w:tcW w:w="132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378" w:type="dxa"/>
            <w:vMerge w:val="continue"/>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2378"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2378"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7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湖南省地质院</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10"/>
        <w:tblW w:w="15012"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2417"/>
        <w:gridCol w:w="3915"/>
      </w:tblGrid>
      <w:tr>
        <w:tblPrEx>
          <w:tblCellMar>
            <w:top w:w="0" w:type="dxa"/>
            <w:left w:w="108" w:type="dxa"/>
            <w:bottom w:w="0" w:type="dxa"/>
            <w:right w:w="108" w:type="dxa"/>
          </w:tblCellMar>
        </w:tblPrEx>
        <w:trPr>
          <w:trHeight w:val="720" w:hRule="atLeast"/>
        </w:trPr>
        <w:tc>
          <w:tcPr>
            <w:tcW w:w="15012"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390" w:hRule="atLeast"/>
        </w:trPr>
        <w:tc>
          <w:tcPr>
            <w:tcW w:w="8680"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部门：湖南省地质院</w:t>
            </w: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金额</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kern w:val="0"/>
                <w:szCs w:val="21"/>
              </w:rPr>
              <w:t xml:space="preserve">项 </w:t>
            </w:r>
            <w:r>
              <w:rPr>
                <w:rFonts w:hint="eastAsia" w:asciiTheme="minorEastAsia" w:hAnsiTheme="minorEastAsia" w:cstheme="minorEastAsia"/>
                <w:color w:val="000000"/>
                <w:kern w:val="0"/>
                <w:szCs w:val="21"/>
              </w:rPr>
              <w:t xml:space="preserve">   </w:t>
            </w:r>
            <w:r>
              <w:rPr>
                <w:rFonts w:hint="eastAsia" w:asciiTheme="minorEastAsia" w:hAnsiTheme="minorEastAsia" w:cstheme="minorEastAsia"/>
                <w:kern w:val="0"/>
                <w:szCs w:val="21"/>
              </w:rPr>
              <w:t>目</w:t>
            </w:r>
          </w:p>
        </w:tc>
        <w:tc>
          <w:tcPr>
            <w:tcW w:w="10177"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371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基本支出  </w:t>
            </w:r>
          </w:p>
        </w:tc>
        <w:tc>
          <w:tcPr>
            <w:tcW w:w="39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7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915"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7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915"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391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c>
          <w:tcPr>
            <w:tcW w:w="391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0.00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11"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915"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720" w:hRule="atLeast"/>
        </w:trPr>
        <w:tc>
          <w:tcPr>
            <w:tcW w:w="15012" w:type="dxa"/>
            <w:gridSpan w:val="9"/>
            <w:tcBorders>
              <w:top w:val="single" w:color="auto" w:sz="8" w:space="0"/>
              <w:left w:val="nil"/>
              <w:bottom w:val="nil"/>
              <w:right w:val="nil"/>
            </w:tcBorders>
            <w:shd w:val="clear" w:color="auto" w:fill="auto"/>
            <w:vAlign w:val="center"/>
          </w:tcPr>
          <w:p>
            <w:pPr>
              <w:widowControl/>
              <w:jc w:val="left"/>
              <w:rPr>
                <w:rFonts w:hint="eastAsia"/>
              </w:rPr>
            </w:pPr>
            <w:r>
              <w:rPr>
                <w:rFonts w:hint="eastAsia"/>
              </w:rPr>
              <w:t>注：本表反映部门本年度国有资本经营预算财政拨款支出情况。</w:t>
            </w:r>
          </w:p>
          <w:p>
            <w:pPr>
              <w:pStyle w:val="2"/>
            </w:pPr>
            <w:r>
              <w:rPr>
                <w:rFonts w:hint="eastAsia" w:ascii="Times New Roman" w:hAnsi="Times New Roman" w:eastAsia="仿宋_GB2312" w:cs="Times New Roman"/>
                <w:kern w:val="0"/>
                <w:szCs w:val="21"/>
                <w:lang w:eastAsia="zh-CN"/>
              </w:rPr>
              <w:t>（湖南省地质院</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eastAsia="zh-CN"/>
              </w:rPr>
              <w:t>国有资本经营收入</w:t>
            </w:r>
            <w:r>
              <w:rPr>
                <w:rFonts w:hint="eastAsia" w:ascii="Times New Roman" w:hAnsi="Times New Roman" w:eastAsia="仿宋_GB2312" w:cs="Times New Roman"/>
                <w:kern w:val="0"/>
                <w:szCs w:val="21"/>
              </w:rPr>
              <w:t>，也没有使用</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支出，故本表无数据</w:t>
            </w:r>
            <w:r>
              <w:rPr>
                <w:rFonts w:hint="eastAsia" w:ascii="Times New Roman" w:hAnsi="Times New Roman" w:eastAsia="仿宋_GB2312" w:cs="Times New Roman"/>
                <w:kern w:val="0"/>
                <w:szCs w:val="21"/>
                <w:lang w:eastAsia="zh-CN"/>
              </w:rPr>
              <w:t>）</w:t>
            </w:r>
          </w:p>
        </w:tc>
      </w:tr>
    </w:tbl>
    <w:p>
      <w:pPr>
        <w:pStyle w:val="2"/>
        <w:ind w:right="477" w:rightChars="227"/>
        <w:rPr>
          <w:rFonts w:asciiTheme="minorEastAsia" w:hAnsiTheme="minorEastAsia" w:eastAsiaTheme="minorEastAsia" w:cstheme="minorEastAsia"/>
          <w:sz w:val="21"/>
          <w:szCs w:val="21"/>
        </w:rPr>
        <w:sectPr>
          <w:pgSz w:w="16838" w:h="11906" w:orient="landscape"/>
          <w:pgMar w:top="720" w:right="720" w:bottom="720" w:left="720" w:header="851" w:footer="992" w:gutter="0"/>
          <w:cols w:space="425" w:num="1"/>
          <w:docGrid w:type="lines" w:linePitch="312" w:charSpace="0"/>
        </w:sect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jc w:val="center"/>
        <w:rPr>
          <w:sz w:val="72"/>
          <w:szCs w:val="72"/>
        </w:rPr>
      </w:pPr>
    </w:p>
    <w:p>
      <w:pPr>
        <w:pStyle w:val="2"/>
        <w:jc w:val="center"/>
        <w:rPr>
          <w:sz w:val="72"/>
          <w:szCs w:val="72"/>
        </w:rPr>
      </w:pPr>
    </w:p>
    <w:p>
      <w:pPr>
        <w:pStyle w:val="2"/>
        <w:jc w:val="center"/>
        <w:rPr>
          <w:sz w:val="72"/>
          <w:szCs w:val="72"/>
        </w:rPr>
      </w:pPr>
      <w:r>
        <w:rPr>
          <w:rFonts w:hint="eastAsia"/>
          <w:sz w:val="72"/>
          <w:szCs w:val="72"/>
        </w:rPr>
        <w:t>第三部分</w:t>
      </w:r>
    </w:p>
    <w:p>
      <w:pPr>
        <w:pStyle w:val="2"/>
        <w:jc w:val="center"/>
        <w:rPr>
          <w:sz w:val="70"/>
          <w:szCs w:val="70"/>
        </w:rPr>
      </w:pPr>
    </w:p>
    <w:p>
      <w:pPr>
        <w:pStyle w:val="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2"/>
        <w:rPr>
          <w:rFonts w:asciiTheme="minorEastAsia" w:hAnsiTheme="minorEastAsia" w:eastAsiaTheme="minorEastAsia"/>
          <w:sz w:val="32"/>
          <w:szCs w:val="32"/>
        </w:rPr>
      </w:pPr>
    </w:p>
    <w:p>
      <w:pPr>
        <w:pStyle w:val="2"/>
        <w:rPr>
          <w:rFonts w:hAnsi="黑体"/>
          <w:b/>
          <w:sz w:val="32"/>
          <w:szCs w:val="32"/>
        </w:rPr>
      </w:pPr>
      <w:r>
        <w:rPr>
          <w:rFonts w:hint="eastAsia" w:hAnsi="黑体"/>
          <w:b/>
          <w:sz w:val="32"/>
          <w:szCs w:val="32"/>
        </w:rPr>
        <w:t xml:space="preserve">    一、收入支出决算总体情况说明</w:t>
      </w:r>
    </w:p>
    <w:p>
      <w:pPr>
        <w:ind w:firstLine="640" w:firstLineChars="200"/>
        <w:rPr>
          <w:rFonts w:ascii="仿宋_GB2312" w:hAnsi="仿宋_GB2312" w:eastAsia="仿宋_GB2312" w:cs="仿宋_GB2312"/>
          <w:color w:val="000000"/>
          <w:kern w:val="0"/>
          <w:sz w:val="32"/>
          <w:szCs w:val="32"/>
          <w:lang w:val="en"/>
        </w:rPr>
      </w:pPr>
      <w:r>
        <w:rPr>
          <w:rFonts w:hint="eastAsia" w:ascii="仿宋_GB2312" w:hAnsi="仿宋_GB2312" w:eastAsia="仿宋_GB2312" w:cs="仿宋_GB2312"/>
          <w:color w:val="000000"/>
          <w:kern w:val="0"/>
          <w:sz w:val="32"/>
          <w:szCs w:val="32"/>
        </w:rPr>
        <w:t>我院2021年度收入</w:t>
      </w:r>
      <w:r>
        <w:rPr>
          <w:rFonts w:hint="eastAsia" w:ascii="仿宋_GB2312" w:hAnsi="仿宋_GB2312" w:eastAsia="仿宋_GB2312" w:cs="仿宋_GB2312"/>
          <w:color w:val="000000"/>
          <w:kern w:val="0"/>
          <w:sz w:val="32"/>
          <w:szCs w:val="32"/>
          <w:lang w:eastAsia="zh-CN"/>
        </w:rPr>
        <w:t>总</w:t>
      </w:r>
      <w:r>
        <w:rPr>
          <w:rFonts w:hint="eastAsia" w:ascii="仿宋_GB2312" w:hAnsi="仿宋_GB2312" w:eastAsia="仿宋_GB2312" w:cs="仿宋_GB2312"/>
          <w:color w:val="000000"/>
          <w:kern w:val="0"/>
          <w:sz w:val="32"/>
          <w:szCs w:val="32"/>
        </w:rPr>
        <w:t>计2</w:t>
      </w:r>
      <w:r>
        <w:rPr>
          <w:rFonts w:hint="eastAsia" w:ascii="仿宋_GB2312" w:hAnsi="仿宋_GB2312" w:eastAsia="仿宋_GB2312" w:cs="仿宋_GB2312"/>
          <w:color w:val="000000"/>
          <w:kern w:val="0"/>
          <w:sz w:val="32"/>
          <w:szCs w:val="32"/>
          <w:lang w:val="en-US" w:eastAsia="zh-CN"/>
        </w:rPr>
        <w:t>83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709.33</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（含年初结转和结余</w:t>
      </w:r>
      <w:r>
        <w:rPr>
          <w:rFonts w:hint="eastAsia" w:ascii="仿宋_GB2312" w:hAnsi="仿宋_GB2312" w:eastAsia="仿宋_GB2312" w:cs="仿宋_GB2312"/>
          <w:color w:val="000000"/>
          <w:kern w:val="0"/>
          <w:sz w:val="32"/>
          <w:szCs w:val="32"/>
          <w:lang w:val="en-US" w:eastAsia="zh-CN"/>
        </w:rPr>
        <w:t>5，227.09万元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，与上年相比，减少</w:t>
      </w:r>
      <w:r>
        <w:rPr>
          <w:rFonts w:hint="eastAsia" w:ascii="仿宋_GB2312" w:hAnsi="仿宋_GB2312" w:eastAsia="仿宋_GB2312" w:cs="仿宋_GB2312"/>
          <w:color w:val="000000"/>
          <w:kern w:val="0"/>
          <w:sz w:val="32"/>
          <w:szCs w:val="32"/>
          <w:lang w:val="en-US" w:eastAsia="zh-CN"/>
        </w:rPr>
        <w:t>55</w:t>
      </w:r>
      <w:r>
        <w:rPr>
          <w:rFonts w:hint="default" w:ascii="仿宋_GB2312" w:hAnsi="仿宋_GB2312" w:eastAsia="仿宋_GB2312" w:cs="仿宋_GB2312"/>
          <w:color w:val="000000"/>
          <w:kern w:val="0"/>
          <w:sz w:val="32"/>
          <w:szCs w:val="32"/>
          <w:lang w:val="en" w:eastAsia="zh-CN"/>
        </w:rPr>
        <w:t>,825.25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。主要原因为2020年追加了两个年度的综治奖,而2021年未追加。2021年度支出</w:t>
      </w:r>
      <w:r>
        <w:rPr>
          <w:rFonts w:hint="eastAsia" w:ascii="仿宋_GB2312" w:hAnsi="仿宋_GB2312" w:eastAsia="仿宋_GB2312" w:cs="仿宋_GB2312"/>
          <w:color w:val="000000"/>
          <w:kern w:val="0"/>
          <w:sz w:val="32"/>
          <w:szCs w:val="32"/>
          <w:lang w:eastAsia="zh-CN"/>
        </w:rPr>
        <w:t>总计</w:t>
      </w:r>
      <w:r>
        <w:rPr>
          <w:rFonts w:hint="default" w:ascii="仿宋_GB2312" w:hAnsi="仿宋_GB2312" w:eastAsia="仿宋_GB2312" w:cs="仿宋_GB2312"/>
          <w:color w:val="000000"/>
          <w:kern w:val="0"/>
          <w:sz w:val="32"/>
          <w:szCs w:val="32"/>
          <w:lang w:val="en"/>
        </w:rPr>
        <w:t>283,709.33</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（含结余分配</w:t>
      </w:r>
      <w:r>
        <w:rPr>
          <w:rFonts w:hint="eastAsia" w:ascii="仿宋_GB2312" w:hAnsi="仿宋_GB2312" w:eastAsia="仿宋_GB2312" w:cs="仿宋_GB2312"/>
          <w:color w:val="000000"/>
          <w:kern w:val="0"/>
          <w:sz w:val="32"/>
          <w:szCs w:val="32"/>
          <w:lang w:val="en-US" w:eastAsia="zh-CN"/>
        </w:rPr>
        <w:t>4</w:t>
      </w:r>
      <w:r>
        <w:rPr>
          <w:rFonts w:hint="default" w:ascii="仿宋_GB2312" w:hAnsi="仿宋_GB2312" w:eastAsia="仿宋_GB2312" w:cs="仿宋_GB2312"/>
          <w:color w:val="000000"/>
          <w:kern w:val="0"/>
          <w:sz w:val="32"/>
          <w:szCs w:val="32"/>
          <w:lang w:val="en" w:eastAsia="zh-CN"/>
        </w:rPr>
        <w:t>,098</w:t>
      </w:r>
      <w:r>
        <w:rPr>
          <w:rFonts w:hint="eastAsia" w:ascii="仿宋_GB2312" w:hAnsi="仿宋_GB2312" w:eastAsia="仿宋_GB2312" w:cs="仿宋_GB2312"/>
          <w:color w:val="000000"/>
          <w:kern w:val="0"/>
          <w:sz w:val="32"/>
          <w:szCs w:val="32"/>
          <w:lang w:val="en" w:eastAsia="zh-CN"/>
        </w:rPr>
        <w:t>万元，年末结转和结余</w:t>
      </w:r>
      <w:r>
        <w:rPr>
          <w:rFonts w:hint="default" w:ascii="仿宋_GB2312" w:hAnsi="仿宋_GB2312" w:eastAsia="仿宋_GB2312" w:cs="仿宋_GB2312"/>
          <w:color w:val="000000"/>
          <w:kern w:val="0"/>
          <w:sz w:val="32"/>
          <w:szCs w:val="32"/>
          <w:lang w:val="en" w:eastAsia="zh-CN"/>
        </w:rPr>
        <w:t>3,876.15</w:t>
      </w:r>
      <w:r>
        <w:rPr>
          <w:rFonts w:hint="eastAsia" w:ascii="仿宋_GB2312" w:hAnsi="仿宋_GB2312" w:eastAsia="仿宋_GB2312" w:cs="仿宋_GB2312"/>
          <w:color w:val="000000"/>
          <w:kern w:val="0"/>
          <w:sz w:val="32"/>
          <w:szCs w:val="32"/>
          <w:lang w:val="en" w:eastAsia="zh-CN"/>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，与上年相比，减少</w:t>
      </w:r>
      <w:r>
        <w:rPr>
          <w:rFonts w:hint="eastAsia" w:ascii="仿宋_GB2312" w:hAnsi="仿宋_GB2312" w:eastAsia="仿宋_GB2312" w:cs="仿宋_GB2312"/>
          <w:color w:val="000000"/>
          <w:kern w:val="0"/>
          <w:sz w:val="32"/>
          <w:szCs w:val="32"/>
          <w:lang w:val="en-US" w:eastAsia="zh-CN"/>
        </w:rPr>
        <w:t>55</w:t>
      </w:r>
      <w:r>
        <w:rPr>
          <w:rFonts w:hint="default" w:ascii="仿宋_GB2312" w:hAnsi="仿宋_GB2312" w:eastAsia="仿宋_GB2312" w:cs="仿宋_GB2312"/>
          <w:color w:val="000000"/>
          <w:kern w:val="0"/>
          <w:sz w:val="32"/>
          <w:szCs w:val="32"/>
          <w:lang w:val="en" w:eastAsia="zh-CN"/>
        </w:rPr>
        <w:t>,825.25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val="en"/>
        </w:rPr>
        <w:t>2020年追加</w:t>
      </w:r>
      <w:r>
        <w:rPr>
          <w:rFonts w:hint="eastAsia" w:ascii="仿宋_GB2312" w:hAnsi="仿宋_GB2312" w:eastAsia="仿宋_GB2312" w:cs="仿宋_GB2312"/>
          <w:color w:val="000000"/>
          <w:kern w:val="0"/>
          <w:sz w:val="32"/>
          <w:szCs w:val="32"/>
        </w:rPr>
        <w:t>下达综治奖、绩效奖等指标，</w:t>
      </w:r>
      <w:r>
        <w:rPr>
          <w:rFonts w:hint="eastAsia" w:ascii="仿宋_GB2312" w:hAnsi="仿宋_GB2312" w:eastAsia="仿宋_GB2312" w:cs="仿宋_GB2312"/>
          <w:color w:val="000000"/>
          <w:kern w:val="0"/>
          <w:sz w:val="32"/>
          <w:szCs w:val="32"/>
          <w:lang w:val="en"/>
        </w:rPr>
        <w:t>相应形成支出，2021年无该指标追加，无该类支出</w:t>
      </w:r>
      <w:r>
        <w:rPr>
          <w:rFonts w:hint="eastAsia" w:ascii="仿宋_GB2312" w:hAnsi="仿宋_GB2312" w:eastAsia="仿宋_GB2312" w:cs="仿宋_GB2312"/>
          <w:color w:val="000000"/>
          <w:kern w:val="0"/>
          <w:sz w:val="32"/>
          <w:szCs w:val="32"/>
          <w:lang w:val="en" w:eastAsia="zh-CN"/>
        </w:rPr>
        <w:t>以及项目支出减少</w:t>
      </w:r>
      <w:r>
        <w:rPr>
          <w:rFonts w:hint="eastAsia" w:ascii="仿宋_GB2312" w:hAnsi="仿宋_GB2312" w:eastAsia="仿宋_GB2312" w:cs="仿宋_GB2312"/>
          <w:color w:val="000000"/>
          <w:kern w:val="0"/>
          <w:sz w:val="32"/>
          <w:szCs w:val="32"/>
        </w:rPr>
        <w:t>。</w:t>
      </w:r>
    </w:p>
    <w:p>
      <w:pPr>
        <w:pStyle w:val="2"/>
        <w:rPr>
          <w:rFonts w:hAnsi="黑体"/>
          <w:b/>
          <w:sz w:val="32"/>
          <w:szCs w:val="32"/>
        </w:rPr>
      </w:pPr>
      <w:r>
        <w:rPr>
          <w:rFonts w:hint="eastAsia" w:hAnsi="黑体"/>
          <w:b/>
          <w:sz w:val="32"/>
          <w:szCs w:val="32"/>
        </w:rPr>
        <w:t xml:space="preserve">    二、收入决算情况说明</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2021年收入合计278,482.24万元，其中：财政拨款收入174,885.22万元，占62.80%；</w:t>
      </w:r>
      <w:r>
        <w:rPr>
          <w:rFonts w:hint="eastAsia" w:ascii="仿宋_GB2312" w:hAnsi="仿宋_GB2312" w:eastAsia="仿宋_GB2312" w:cs="仿宋_GB2312"/>
          <w:color w:val="000000"/>
          <w:kern w:val="0"/>
          <w:sz w:val="32"/>
          <w:szCs w:val="32"/>
          <w:lang w:eastAsia="zh-CN"/>
        </w:rPr>
        <w:t>上级补助收入</w:t>
      </w:r>
      <w:r>
        <w:rPr>
          <w:rFonts w:hint="eastAsia" w:ascii="仿宋_GB2312" w:hAnsi="仿宋_GB2312" w:eastAsia="仿宋_GB2312" w:cs="仿宋_GB2312"/>
          <w:color w:val="000000"/>
          <w:kern w:val="0"/>
          <w:sz w:val="32"/>
          <w:szCs w:val="32"/>
          <w:lang w:val="en-US" w:eastAsia="zh-CN"/>
        </w:rPr>
        <w:t>0万元，占0%；</w:t>
      </w:r>
      <w:r>
        <w:rPr>
          <w:rFonts w:hint="eastAsia" w:ascii="仿宋_GB2312" w:hAnsi="仿宋_GB2312" w:eastAsia="仿宋_GB2312" w:cs="仿宋_GB2312"/>
          <w:color w:val="000000"/>
          <w:kern w:val="0"/>
          <w:sz w:val="32"/>
          <w:szCs w:val="32"/>
        </w:rPr>
        <w:t>事业收入240.48万元，占0.09%；经营收入103,356.54万元，占37.11%</w:t>
      </w:r>
      <w:r>
        <w:rPr>
          <w:rFonts w:hint="eastAsia" w:ascii="仿宋_GB2312" w:hAnsi="仿宋_GB2312" w:eastAsia="仿宋_GB2312" w:cs="仿宋_GB2312"/>
          <w:color w:val="000000"/>
          <w:kern w:val="0"/>
          <w:sz w:val="32"/>
          <w:szCs w:val="32"/>
          <w:lang w:eastAsia="zh-CN"/>
        </w:rPr>
        <w:t>；附属单位上缴收入</w:t>
      </w:r>
      <w:r>
        <w:rPr>
          <w:rFonts w:hint="eastAsia" w:ascii="仿宋_GB2312" w:hAnsi="仿宋_GB2312" w:eastAsia="仿宋_GB2312" w:cs="仿宋_GB2312"/>
          <w:color w:val="000000"/>
          <w:kern w:val="0"/>
          <w:sz w:val="32"/>
          <w:szCs w:val="32"/>
          <w:lang w:val="en-US" w:eastAsia="zh-CN"/>
        </w:rPr>
        <w:t>0万元，占0%；其他收入0万元，占0%</w:t>
      </w:r>
      <w:r>
        <w:rPr>
          <w:rFonts w:hint="eastAsia" w:ascii="仿宋_GB2312" w:hAnsi="仿宋_GB2312" w:eastAsia="仿宋_GB2312" w:cs="仿宋_GB2312"/>
          <w:color w:val="000000"/>
          <w:kern w:val="0"/>
          <w:sz w:val="32"/>
          <w:szCs w:val="32"/>
        </w:rPr>
        <w:t xml:space="preserve">。 </w:t>
      </w:r>
    </w:p>
    <w:p>
      <w:pPr>
        <w:pStyle w:val="2"/>
        <w:rPr>
          <w:rFonts w:hAnsi="黑体"/>
          <w:b/>
          <w:sz w:val="32"/>
          <w:szCs w:val="32"/>
        </w:rPr>
      </w:pPr>
      <w:r>
        <w:rPr>
          <w:rFonts w:hint="eastAsia" w:hAnsi="黑体"/>
          <w:b/>
          <w:sz w:val="32"/>
          <w:szCs w:val="32"/>
        </w:rPr>
        <w:t xml:space="preserve">     三、支出决算情况说明</w:t>
      </w:r>
    </w:p>
    <w:p>
      <w:pPr>
        <w:pStyle w:val="3"/>
        <w:ind w:left="0"/>
        <w:rPr>
          <w:rFonts w:ascii="仿宋_GB2312" w:hAnsi="仿宋_GB2312" w:eastAsia="仿宋_GB2312" w:cs="仿宋_GB2312"/>
          <w:kern w:val="0"/>
          <w:sz w:val="32"/>
          <w:szCs w:val="32"/>
        </w:rPr>
      </w:pPr>
      <w:r>
        <w:rPr>
          <w:rFonts w:hint="eastAsia" w:cs="黑体" w:asciiTheme="minorEastAsia" w:hAnsiTheme="minorEastAsia"/>
          <w:color w:val="000000"/>
          <w:kern w:val="0"/>
          <w:sz w:val="32"/>
          <w:szCs w:val="32"/>
        </w:rPr>
        <w:t xml:space="preserve">     </w:t>
      </w:r>
      <w:r>
        <w:rPr>
          <w:rFonts w:hint="eastAsia" w:ascii="仿宋_GB2312" w:hAnsi="仿宋_GB2312" w:eastAsia="仿宋_GB2312" w:cs="仿宋_GB2312"/>
          <w:color w:val="000000"/>
          <w:kern w:val="0"/>
          <w:sz w:val="32"/>
          <w:szCs w:val="32"/>
        </w:rPr>
        <w:t>2021年度支出合计275,735.18万元，其中：基本支出150,863.20万元，占54.71%；项目支出26,292.77万元，占9.54%；</w:t>
      </w:r>
      <w:r>
        <w:rPr>
          <w:rFonts w:hint="eastAsia" w:ascii="仿宋_GB2312" w:hAnsi="仿宋_GB2312" w:eastAsia="仿宋_GB2312" w:cs="仿宋_GB2312"/>
          <w:color w:val="000000"/>
          <w:kern w:val="0"/>
          <w:sz w:val="32"/>
          <w:szCs w:val="32"/>
          <w:lang w:eastAsia="zh-CN"/>
        </w:rPr>
        <w:t>上缴上级支出</w:t>
      </w:r>
      <w:r>
        <w:rPr>
          <w:rFonts w:hint="eastAsia" w:ascii="仿宋_GB2312" w:hAnsi="仿宋_GB2312" w:eastAsia="仿宋_GB2312" w:cs="仿宋_GB2312"/>
          <w:color w:val="000000"/>
          <w:kern w:val="0"/>
          <w:sz w:val="32"/>
          <w:szCs w:val="32"/>
          <w:lang w:val="en-US" w:eastAsia="zh-CN"/>
        </w:rPr>
        <w:t>0万元，占0%;</w:t>
      </w:r>
      <w:r>
        <w:rPr>
          <w:rFonts w:hint="eastAsia" w:ascii="仿宋_GB2312" w:hAnsi="仿宋_GB2312" w:eastAsia="仿宋_GB2312" w:cs="仿宋_GB2312"/>
          <w:color w:val="000000"/>
          <w:kern w:val="0"/>
          <w:sz w:val="32"/>
          <w:szCs w:val="32"/>
        </w:rPr>
        <w:t>经营支出98,579.21万元，</w:t>
      </w:r>
      <w:r>
        <w:rPr>
          <w:rFonts w:hint="eastAsia" w:ascii="仿宋_GB2312" w:hAnsi="仿宋_GB2312" w:eastAsia="仿宋_GB2312" w:cs="仿宋_GB2312"/>
          <w:kern w:val="0"/>
          <w:sz w:val="32"/>
          <w:szCs w:val="32"/>
        </w:rPr>
        <w:t>占35.75%</w:t>
      </w:r>
      <w:r>
        <w:rPr>
          <w:rFonts w:hint="eastAsia" w:ascii="仿宋_GB2312" w:hAnsi="仿宋_GB2312" w:eastAsia="仿宋_GB2312" w:cs="仿宋_GB2312"/>
          <w:kern w:val="0"/>
          <w:sz w:val="32"/>
          <w:szCs w:val="32"/>
          <w:lang w:val="en-US" w:eastAsia="zh-CN"/>
        </w:rPr>
        <w:t>;对附属单位补助支出0万元，占0%</w:t>
      </w:r>
      <w:r>
        <w:rPr>
          <w:rFonts w:hint="eastAsia" w:ascii="仿宋_GB2312" w:hAnsi="仿宋_GB2312" w:eastAsia="仿宋_GB2312" w:cs="仿宋_GB2312"/>
          <w:kern w:val="0"/>
          <w:sz w:val="32"/>
          <w:szCs w:val="32"/>
        </w:rPr>
        <w:t>。</w:t>
      </w:r>
    </w:p>
    <w:p>
      <w:pPr>
        <w:pStyle w:val="2"/>
        <w:rPr>
          <w:rFonts w:hAnsi="黑体"/>
          <w:b/>
          <w:color w:val="auto"/>
          <w:sz w:val="32"/>
          <w:szCs w:val="32"/>
        </w:rPr>
      </w:pPr>
      <w:r>
        <w:rPr>
          <w:rFonts w:hint="eastAsia" w:hAnsi="黑体"/>
          <w:b/>
          <w:color w:val="auto"/>
          <w:sz w:val="32"/>
          <w:szCs w:val="32"/>
        </w:rPr>
        <w:t xml:space="preserve">    四、财政拨款收入支出决算总体情况说明</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2021年财政拨款收入</w:t>
      </w:r>
      <w:r>
        <w:rPr>
          <w:rFonts w:hint="eastAsia" w:ascii="仿宋_GB2312" w:hAnsi="仿宋_GB2312" w:eastAsia="仿宋_GB2312" w:cs="仿宋_GB2312"/>
          <w:sz w:val="32"/>
          <w:szCs w:val="32"/>
          <w:lang w:eastAsia="zh-CN"/>
        </w:rPr>
        <w:t>总计</w:t>
      </w:r>
      <w:r>
        <w:rPr>
          <w:rFonts w:hint="default" w:ascii="仿宋_GB2312" w:hAnsi="仿宋_GB2312" w:eastAsia="仿宋_GB2312" w:cs="仿宋_GB2312"/>
          <w:sz w:val="32"/>
          <w:szCs w:val="32"/>
          <w:lang w:val="en" w:eastAsia="zh-CN"/>
        </w:rPr>
        <w:t>182,576.73</w:t>
      </w:r>
      <w:r>
        <w:rPr>
          <w:rFonts w:hint="eastAsia" w:ascii="仿宋_GB2312" w:hAnsi="仿宋_GB2312" w:eastAsia="仿宋_GB2312" w:cs="仿宋_GB2312"/>
          <w:sz w:val="32"/>
          <w:szCs w:val="32"/>
          <w:lang w:val="en" w:eastAsia="zh-CN"/>
        </w:rPr>
        <w:t>万元</w:t>
      </w:r>
      <w:r>
        <w:rPr>
          <w:rFonts w:hint="eastAsia" w:ascii="仿宋_GB2312" w:hAnsi="仿宋_GB2312" w:eastAsia="仿宋_GB2312" w:cs="仿宋_GB2312"/>
          <w:sz w:val="32"/>
          <w:szCs w:val="32"/>
          <w:lang w:eastAsia="zh-CN"/>
        </w:rPr>
        <w:t>（含年初财政拨款结转和结余</w:t>
      </w:r>
      <w:r>
        <w:rPr>
          <w:rFonts w:hint="default" w:ascii="仿宋_GB2312" w:hAnsi="仿宋_GB2312" w:eastAsia="仿宋_GB2312" w:cs="仿宋_GB2312"/>
          <w:sz w:val="32"/>
          <w:szCs w:val="32"/>
          <w:lang w:val="en" w:eastAsia="zh-CN"/>
        </w:rPr>
        <w:t>7,691.51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55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523.92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23.32</w:t>
      </w:r>
      <w:r>
        <w:rPr>
          <w:rFonts w:hint="eastAsia" w:ascii="仿宋_GB2312" w:hAnsi="仿宋_GB2312" w:eastAsia="仿宋_GB2312" w:cs="仿宋_GB2312"/>
          <w:sz w:val="32"/>
          <w:szCs w:val="32"/>
        </w:rPr>
        <w:t>%，主要是因为2020年追加了2019综治奖和2020年度预发资金，2021年度无该指标追加。2021年财政拨款支出</w:t>
      </w:r>
      <w:r>
        <w:rPr>
          <w:rFonts w:hint="default" w:ascii="仿宋_GB2312" w:hAnsi="仿宋_GB2312" w:eastAsia="仿宋_GB2312" w:cs="仿宋_GB2312"/>
          <w:sz w:val="32"/>
          <w:szCs w:val="32"/>
          <w:lang w:val="en"/>
        </w:rPr>
        <w:t>总计</w:t>
      </w:r>
      <w:r>
        <w:rPr>
          <w:rFonts w:hint="default" w:ascii="仿宋_GB2312" w:hAnsi="仿宋_GB2312" w:eastAsia="仿宋_GB2312" w:cs="仿宋_GB2312"/>
          <w:sz w:val="32"/>
          <w:szCs w:val="32"/>
          <w:lang w:val="en" w:eastAsia="zh-CN"/>
        </w:rPr>
        <w:t>182,576.73</w:t>
      </w:r>
      <w:r>
        <w:rPr>
          <w:rFonts w:hint="eastAsia" w:ascii="仿宋_GB2312" w:hAnsi="仿宋_GB2312" w:eastAsia="仿宋_GB2312" w:cs="仿宋_GB2312"/>
          <w:sz w:val="32"/>
          <w:szCs w:val="32"/>
          <w:lang w:val="en" w:eastAsia="zh-CN"/>
        </w:rPr>
        <w:t>万元</w:t>
      </w:r>
      <w:r>
        <w:rPr>
          <w:rFonts w:hint="eastAsia" w:ascii="仿宋_GB2312" w:hAnsi="仿宋_GB2312" w:eastAsia="仿宋_GB2312" w:cs="仿宋_GB2312"/>
          <w:sz w:val="32"/>
          <w:szCs w:val="32"/>
          <w:lang w:eastAsia="zh-CN"/>
        </w:rPr>
        <w:t>（含年末财政拨款结转和结余</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776.46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55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523.92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主要是因为2021年未支出综治奖，以及财政地质项目支出锐减。</w:t>
      </w:r>
    </w:p>
    <w:p>
      <w:pPr>
        <w:pStyle w:val="2"/>
        <w:rPr>
          <w:rFonts w:hAnsi="黑体"/>
          <w:b/>
          <w:sz w:val="32"/>
          <w:szCs w:val="32"/>
        </w:rPr>
      </w:pPr>
      <w:r>
        <w:rPr>
          <w:rFonts w:hint="eastAsia" w:hAnsi="黑体"/>
          <w:b/>
          <w:sz w:val="32"/>
          <w:szCs w:val="32"/>
        </w:rPr>
        <w:t xml:space="preserve">     五、一般公共预算财政拨款支出决算情况说明</w:t>
      </w:r>
    </w:p>
    <w:p>
      <w:pPr>
        <w:pStyle w:val="2"/>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（一）财政拨款支出决算总体情况</w:t>
      </w:r>
    </w:p>
    <w:p>
      <w:pPr>
        <w:pStyle w:val="2"/>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2021年财政拨款支出176,800.27万元，占本年支出合计的64.12%，与上年相比，财政拨款支出减少53</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10.67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
        </w:rPr>
        <w:t>23.</w:t>
      </w:r>
      <w:r>
        <w:rPr>
          <w:rFonts w:hint="eastAsia" w:ascii="仿宋_GB2312" w:hAnsi="仿宋_GB2312" w:eastAsia="仿宋_GB2312" w:cs="仿宋_GB2312"/>
          <w:sz w:val="32"/>
          <w:szCs w:val="32"/>
        </w:rPr>
        <w:t>23%。主要是因为2020年追加了2019、2020年度的综治奖，20</w:t>
      </w:r>
      <w:r>
        <w:rPr>
          <w:rFonts w:hint="eastAsia" w:ascii="仿宋_GB2312" w:hAnsi="仿宋_GB2312" w:eastAsia="仿宋_GB2312" w:cs="仿宋_GB2312"/>
          <w:sz w:val="32"/>
          <w:szCs w:val="32"/>
          <w:lang w:val="en"/>
        </w:rPr>
        <w:t>21无该指标追加，无该支出。</w:t>
      </w:r>
    </w:p>
    <w:p>
      <w:pPr>
        <w:pStyle w:val="2"/>
        <w:ind w:firstLine="480"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（二）财政拨款支出决算结构情况</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2021年财政拨款支出176,800.27万元，主要用于以下方面：一般公共服务（类）支出116.6万元，占0.07%；教育（类）支出240.01万元，占0.14%;科学技术（类）支出320.49万元，占0.18%；社会保障和就业（类）支出</w:t>
      </w:r>
      <w:r>
        <w:rPr>
          <w:rFonts w:hint="eastAsia" w:ascii="仿宋_GB2312" w:hAnsi="仿宋_GB2312" w:eastAsia="仿宋_GB2312" w:cs="仿宋_GB2312"/>
          <w:sz w:val="32"/>
          <w:szCs w:val="32"/>
          <w:lang w:val="en"/>
        </w:rPr>
        <w:t>28,467.89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16.1</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
        </w:rPr>
        <w:t>8,769.69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4.96</w:t>
      </w:r>
      <w:r>
        <w:rPr>
          <w:rFonts w:hint="eastAsia" w:ascii="仿宋_GB2312" w:hAnsi="仿宋_GB2312" w:eastAsia="仿宋_GB2312" w:cs="仿宋_GB2312"/>
          <w:sz w:val="32"/>
          <w:szCs w:val="32"/>
        </w:rPr>
        <w:t>%；节能环保（类）支出292.36万元，占0.17%；资源勘探工业信息等（类）支出</w:t>
      </w:r>
      <w:r>
        <w:rPr>
          <w:rFonts w:hint="eastAsia" w:ascii="仿宋_GB2312" w:hAnsi="仿宋_GB2312" w:eastAsia="仿宋_GB2312" w:cs="仿宋_GB2312"/>
          <w:sz w:val="32"/>
          <w:szCs w:val="32"/>
          <w:lang w:val="en"/>
        </w:rPr>
        <w:t>4,175.86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2.36</w:t>
      </w:r>
      <w:r>
        <w:rPr>
          <w:rFonts w:hint="eastAsia" w:ascii="仿宋_GB2312" w:hAnsi="仿宋_GB2312" w:eastAsia="仿宋_GB2312" w:cs="仿宋_GB2312"/>
          <w:sz w:val="32"/>
          <w:szCs w:val="32"/>
        </w:rPr>
        <w:t>%；商业服务业等（类）支出115万元，占0.07%；自然资源海洋气象等（类）支出</w:t>
      </w:r>
      <w:r>
        <w:rPr>
          <w:rFonts w:hint="eastAsia" w:ascii="仿宋_GB2312" w:hAnsi="仿宋_GB2312" w:eastAsia="仿宋_GB2312" w:cs="仿宋_GB2312"/>
          <w:sz w:val="32"/>
          <w:szCs w:val="32"/>
          <w:lang w:val="en"/>
        </w:rPr>
        <w:t>108,395.31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61.3</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
        </w:rPr>
        <w:t>12,487.97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7.06</w:t>
      </w:r>
      <w:r>
        <w:rPr>
          <w:rFonts w:hint="eastAsia" w:ascii="仿宋_GB2312" w:hAnsi="仿宋_GB2312" w:eastAsia="仿宋_GB2312" w:cs="仿宋_GB2312"/>
          <w:sz w:val="32"/>
          <w:szCs w:val="32"/>
        </w:rPr>
        <w:t>%；灾害防治及应急管理（类）支出</w:t>
      </w:r>
      <w:r>
        <w:rPr>
          <w:rFonts w:hint="eastAsia" w:ascii="仿宋_GB2312" w:hAnsi="仿宋_GB2312" w:eastAsia="仿宋_GB2312" w:cs="仿宋_GB2312"/>
          <w:sz w:val="32"/>
          <w:szCs w:val="32"/>
          <w:lang w:val="en"/>
        </w:rPr>
        <w:t>13,419.09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
        </w:rPr>
        <w:t>7.59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2"/>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2021年度财政拨款支出年初预算数为</w:t>
      </w:r>
      <w:r>
        <w:rPr>
          <w:rFonts w:hint="default" w:ascii="仿宋_GB2312" w:hAnsi="仿宋_GB2312" w:eastAsia="仿宋_GB2312" w:cs="仿宋_GB2312"/>
          <w:color w:val="auto"/>
          <w:sz w:val="32"/>
          <w:szCs w:val="32"/>
          <w:lang w:val="en"/>
        </w:rPr>
        <w:t>149,956.81</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
        </w:rPr>
        <w:t>176,800.27</w:t>
      </w:r>
      <w:r>
        <w:rPr>
          <w:rFonts w:hint="eastAsia" w:ascii="仿宋_GB2312" w:hAnsi="仿宋_GB2312" w:eastAsia="仿宋_GB2312" w:cs="仿宋_GB2312"/>
          <w:color w:val="auto"/>
          <w:sz w:val="32"/>
          <w:szCs w:val="32"/>
        </w:rPr>
        <w:t>万元，完成年初预算的</w:t>
      </w:r>
      <w:r>
        <w:rPr>
          <w:rFonts w:hint="default" w:ascii="仿宋_GB2312" w:hAnsi="仿宋_GB2312" w:eastAsia="仿宋_GB2312" w:cs="仿宋_GB2312"/>
          <w:color w:val="auto"/>
          <w:sz w:val="32"/>
          <w:szCs w:val="32"/>
          <w:lang w:val="en"/>
        </w:rPr>
        <w:t>117.9</w:t>
      </w:r>
      <w:r>
        <w:rPr>
          <w:rFonts w:hint="eastAsia" w:ascii="仿宋_GB2312" w:hAnsi="仿宋_GB2312" w:eastAsia="仿宋_GB2312" w:cs="仿宋_GB2312"/>
          <w:color w:val="auto"/>
          <w:sz w:val="32"/>
          <w:szCs w:val="32"/>
        </w:rPr>
        <w:t>%，其中：</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1、一般公共服务支出（类）财政事务（款）其他财政事务支出（项）。</w:t>
      </w:r>
    </w:p>
    <w:p>
      <w:pPr>
        <w:pStyle w:val="8"/>
        <w:widowControl/>
        <w:numPr>
          <w:ilvl w:val="0"/>
          <w:numId w:val="0"/>
        </w:numPr>
        <w:shd w:val="clear" w:color="auto" w:fill="FFFFFF"/>
        <w:spacing w:beforeAutospacing="0" w:afterAutospacing="0" w:line="60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年初预算为0万元，支出决算为2万元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2、一般公共服务支出（类）其他一般公共服务支出（款）其他一般公共服务支出（项）。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年初预算为0万元，支出决算为114.6万元，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3、教育</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（类）进修及培训（款）培训支出（项）。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240.01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240.01</w:t>
      </w:r>
      <w:r>
        <w:rPr>
          <w:rFonts w:hint="eastAsia" w:ascii="仿宋_GB2312" w:hAnsi="仿宋_GB2312" w:eastAsia="仿宋_GB2312" w:cs="仿宋_GB2312"/>
          <w:color w:val="auto"/>
          <w:sz w:val="32"/>
          <w:szCs w:val="32"/>
        </w:rPr>
        <w:t>万元，完成年初预算的100%，决算数与预算数持平。</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4、科学技术</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（类）科技条件与服务（款）科技条件专项（项）。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138.26</w:t>
      </w:r>
      <w:r>
        <w:rPr>
          <w:rFonts w:hint="eastAsia" w:ascii="仿宋_GB2312" w:hAnsi="仿宋_GB2312" w:eastAsia="仿宋_GB2312" w:cs="仿宋_GB2312"/>
          <w:color w:val="auto"/>
          <w:sz w:val="32"/>
          <w:szCs w:val="32"/>
        </w:rPr>
        <w:t>万元。决算数大于预算数的原因是年中追加了指标并在本年度形成支出。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5、科学技术</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（类）科学技术普及（款）科普活动（项）。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万元，支出决算为5万元。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6、科学技术</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（类）科学技术普及（款）其他科学技术普及（项）。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年初预算为0万元，支出决算为4.73万元。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7、科学技术</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（类）科技重大项目（款）重点研发计划（项）。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万元，支出决算为132.51万元。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8、科学技术</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（类）其他科学技术支出（款）科技奖励（项）。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年初预算为0万元，支出决算为40万元。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9、社会保障和就业</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（类）行政事业单位养老支出（款）行政单位离退休（项）。</w:t>
      </w:r>
    </w:p>
    <w:p>
      <w:pPr>
        <w:pStyle w:val="2"/>
        <w:ind w:firstLine="800" w:firstLineChars="2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年初预算为</w:t>
      </w:r>
      <w:r>
        <w:rPr>
          <w:rFonts w:hint="default" w:ascii="仿宋_GB2312" w:hAnsi="仿宋_GB2312" w:eastAsia="仿宋_GB2312" w:cs="仿宋_GB2312"/>
          <w:color w:val="auto"/>
          <w:sz w:val="32"/>
          <w:szCs w:val="32"/>
          <w:lang w:val="en"/>
        </w:rPr>
        <w:t>601</w:t>
      </w:r>
      <w:r>
        <w:rPr>
          <w:rFonts w:hint="eastAsia" w:ascii="仿宋_GB2312" w:hAnsi="仿宋_GB2312" w:eastAsia="仿宋_GB2312" w:cs="仿宋_GB2312"/>
          <w:color w:val="auto"/>
          <w:sz w:val="32"/>
          <w:szCs w:val="32"/>
        </w:rPr>
        <w:t>万元，支出决算为</w:t>
      </w:r>
      <w:r>
        <w:rPr>
          <w:rFonts w:ascii="仿宋_GB2312" w:hAnsi="仿宋_GB2312" w:eastAsia="仿宋_GB2312" w:cs="仿宋_GB2312"/>
          <w:color w:val="auto"/>
          <w:sz w:val="32"/>
          <w:szCs w:val="32"/>
        </w:rPr>
        <w:t>601.88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default" w:ascii="仿宋_GB2312" w:hAnsi="仿宋_GB2312" w:eastAsia="仿宋_GB2312" w:cs="仿宋_GB2312"/>
          <w:color w:val="auto"/>
          <w:sz w:val="32"/>
          <w:szCs w:val="32"/>
          <w:lang w:val="en"/>
        </w:rPr>
        <w:t>100.</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基本持平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增加的原因是费用增加了，在大类科目里进行了指标微调。</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10、社会保障和就业</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（类）行政事业单位养老支出（款）事业单位离退休（项）。</w:t>
      </w:r>
    </w:p>
    <w:p>
      <w:pPr>
        <w:pStyle w:val="2"/>
        <w:ind w:firstLine="800" w:firstLineChars="2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8,132.56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8,171.67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100.48</w:t>
      </w:r>
      <w:r>
        <w:rPr>
          <w:rFonts w:hint="eastAsia" w:ascii="仿宋_GB2312" w:hAnsi="仿宋_GB2312" w:eastAsia="仿宋_GB2312" w:cs="仿宋_GB2312"/>
          <w:color w:val="auto"/>
          <w:sz w:val="32"/>
          <w:szCs w:val="32"/>
        </w:rPr>
        <w:t>%。决算数与预算数基本持平。</w:t>
      </w:r>
      <w:r>
        <w:rPr>
          <w:rFonts w:hint="eastAsia" w:ascii="仿宋_GB2312" w:hAnsi="仿宋_GB2312" w:eastAsia="仿宋_GB2312" w:cs="仿宋_GB2312"/>
          <w:color w:val="auto"/>
          <w:sz w:val="32"/>
          <w:szCs w:val="32"/>
          <w:lang w:eastAsia="zh-CN"/>
        </w:rPr>
        <w:t>增加的原因是费用增加了，在大类科目里进行了指标微调。</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11、社会保障和就业</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（类）行政事业单位养老支出（款）机关事业单位基本养老保险费支出（项）。</w:t>
      </w:r>
    </w:p>
    <w:p>
      <w:pPr>
        <w:pStyle w:val="2"/>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19,694.34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19,694.34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100</w:t>
      </w:r>
      <w:r>
        <w:rPr>
          <w:rFonts w:hint="eastAsia" w:ascii="仿宋_GB2312" w:hAnsi="仿宋_GB2312" w:eastAsia="仿宋_GB2312" w:cs="仿宋_GB2312"/>
          <w:color w:val="auto"/>
          <w:sz w:val="32"/>
          <w:szCs w:val="32"/>
        </w:rPr>
        <w:t>%。决算数与预算数持平。</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12、卫生健康</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（类）行政事业单位医疗（款）事业单位医疗（项）。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8,472.61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8,472.61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100</w:t>
      </w:r>
      <w:r>
        <w:rPr>
          <w:rFonts w:hint="eastAsia" w:ascii="仿宋_GB2312" w:hAnsi="仿宋_GB2312" w:eastAsia="仿宋_GB2312" w:cs="仿宋_GB2312"/>
          <w:color w:val="auto"/>
          <w:sz w:val="32"/>
          <w:szCs w:val="32"/>
        </w:rPr>
        <w:t>%。决算数与预算数持平。</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13、卫生健康</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（类）行政事业单位医疗（款）公务员医疗补助（项）。</w:t>
      </w:r>
    </w:p>
    <w:p>
      <w:pPr>
        <w:pStyle w:val="2"/>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297.08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297.08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100</w:t>
      </w:r>
      <w:r>
        <w:rPr>
          <w:rFonts w:hint="eastAsia" w:ascii="仿宋_GB2312" w:hAnsi="仿宋_GB2312" w:eastAsia="仿宋_GB2312" w:cs="仿宋_GB2312"/>
          <w:color w:val="auto"/>
          <w:sz w:val="32"/>
          <w:szCs w:val="32"/>
        </w:rPr>
        <w:t>%。决算数与预算数持平。</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14、节能环保</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（类）污染减排（款）生态环境监测与信息（项）。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万元，支出决算为292.36万元。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15、资源勘探工业信息</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（类）资源勘探开发（款）其他资源勘探业支出（项）。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万元，支出决算为3778.98万元。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决算数大于预算数的原因是年中追加了地勘项目指标并在本年度形成支出。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16、资源勘探工业信息</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（类）制造业（款）其他制造业（项）。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年初预算为0万元，支出决算为38.34万元。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17、资源勘探工业信息</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（类）其他资源勘探工业信息等（款）其他资源勘探工业信息等支出（项）。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年初预算为0万元，支出决算为358.54万元。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18、商业服务业</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（类）涉外发展服务（款）其他涉外发展服务（项）。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年初预算为0万元，支出决算为115万元。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（类）自然资源事务（款）行政运行（项）。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6,184.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
        </w:rPr>
        <w:t>9</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6,184.39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10</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基本一致</w:t>
      </w:r>
      <w:r>
        <w:rPr>
          <w:rFonts w:hint="eastAsia" w:ascii="仿宋_GB2312" w:hAnsi="仿宋_GB2312" w:eastAsia="仿宋_GB2312" w:cs="仿宋_GB2312"/>
          <w:color w:val="auto"/>
          <w:sz w:val="32"/>
          <w:szCs w:val="32"/>
        </w:rPr>
        <w:t>。</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20、自然资源海洋气象（类）自然资源事务（款）一般行政管理事务（项）。</w:t>
      </w:r>
    </w:p>
    <w:p>
      <w:pPr>
        <w:pStyle w:val="2"/>
        <w:ind w:firstLine="800" w:firstLineChars="2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
        </w:rPr>
        <w:t>396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385.28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
        </w:rPr>
        <w:t>97.29</w:t>
      </w:r>
      <w:r>
        <w:rPr>
          <w:rFonts w:hint="eastAsia" w:ascii="仿宋_GB2312" w:hAnsi="仿宋_GB2312" w:eastAsia="仿宋_GB2312" w:cs="仿宋_GB2312"/>
          <w:color w:val="auto"/>
          <w:sz w:val="32"/>
          <w:szCs w:val="32"/>
        </w:rPr>
        <w:t>%。决算数与预算数基本持平。</w:t>
      </w:r>
      <w:r>
        <w:rPr>
          <w:rFonts w:hint="eastAsia" w:ascii="仿宋_GB2312" w:hAnsi="仿宋_GB2312" w:eastAsia="仿宋_GB2312" w:cs="仿宋_GB2312"/>
          <w:color w:val="auto"/>
          <w:sz w:val="32"/>
          <w:szCs w:val="32"/>
          <w:lang w:eastAsia="zh-CN"/>
        </w:rPr>
        <w:t>减少的原因是在大类科目里进行了指标微调。</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（类）自然资源事务（款）自然资源规划及管理（项）。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万元，支出决算为249.56万元。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（类）自然资源事务（款）自然资源社会公益服务（项）。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年初预算为0万元，支出决算为88.02万元。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（类）自然资源事务（款）自然资源行业业务管理（项）。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万元，支出决算为223.44万元。决算数大于预算数的原因是年中追加了项目指标并在本年度形成支出。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（类）自然资源事务（款）自然资源调查与确权登记（项）。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w:t>
      </w:r>
      <w:r>
        <w:rPr>
          <w:rFonts w:hint="eastAsia" w:ascii="仿宋_GB2312" w:hAnsi="仿宋_GB2312" w:eastAsia="仿宋_GB2312" w:cs="仿宋_GB2312"/>
          <w:color w:val="auto"/>
          <w:sz w:val="32"/>
          <w:szCs w:val="32"/>
          <w:lang w:val="en"/>
        </w:rPr>
        <w:t>3,727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（类）自然资源事务（款）地质矿产资源与环境调查（项）。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543.59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（类）自然资源事务（款）地质勘查与矿产资源管理（项）。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781.18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（类）自然资源事务（款）自然资源卫星（项）。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13.36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（类）自然资源事务（款）基础测绘与地理信息监管（项）。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年初预算为0万元，支出决算为714.01万元。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（类）自然资源事务（款）事业运行（项）。</w:t>
      </w:r>
    </w:p>
    <w:p>
      <w:pPr>
        <w:pStyle w:val="2"/>
        <w:ind w:firstLine="800" w:firstLineChars="2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年初预算为93,450.65万元，支出决算为93,439.71万元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完成年初预算的99.99%。决算数与预算数基本持平。</w:t>
      </w:r>
      <w:r>
        <w:rPr>
          <w:rFonts w:hint="eastAsia" w:ascii="仿宋_GB2312" w:hAnsi="仿宋_GB2312" w:eastAsia="仿宋_GB2312" w:cs="仿宋_GB2312"/>
          <w:color w:val="auto"/>
          <w:sz w:val="32"/>
          <w:szCs w:val="32"/>
          <w:lang w:eastAsia="zh-CN"/>
        </w:rPr>
        <w:t>减少的原因是在大类科目里进行了指标微调。</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30、自然资源海洋气象</w:t>
      </w:r>
      <w:r>
        <w:rPr>
          <w:rFonts w:hint="default" w:ascii="仿宋_GB2312" w:hAnsi="仿宋_GB2312" w:eastAsia="仿宋_GB2312" w:cs="仿宋_GB2312"/>
          <w:color w:val="auto"/>
          <w:sz w:val="32"/>
          <w:szCs w:val="32"/>
          <w:lang w:val="en"/>
        </w:rPr>
        <w:t>等支出</w:t>
      </w:r>
      <w:r>
        <w:rPr>
          <w:rFonts w:hint="eastAsia" w:ascii="仿宋_GB2312" w:hAnsi="仿宋_GB2312" w:eastAsia="仿宋_GB2312" w:cs="仿宋_GB2312"/>
          <w:color w:val="auto"/>
          <w:sz w:val="32"/>
          <w:szCs w:val="32"/>
        </w:rPr>
        <w:t>（类）自然资源事务（款）其他自然资源事务支出（项）。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年初预算为0万元，支出决算为45.77万元。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31、住房保障</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（类）住房改革（款）住房公积金（项）。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年初预算12,487.97为万元，支出决算为12,487.97万元</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完成年初预算的100%。决算数与预算数持平。</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32、灾害防治及应急管理</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（类）应急管理事务（款）其他应急管理支出（项）。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年初预算为0万元，支出决算为100万元。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33、灾害防治及应急管理</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（类）自然灾害防治（款）地质灾害防治（项）。</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
        </w:rPr>
        <w:t>13,092.93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color w:val="auto"/>
          <w:sz w:val="32"/>
          <w:szCs w:val="32"/>
        </w:rPr>
        <w:t>决算数大于预算数的原因是年中追加了项目指标并在本年度形成支出。</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34、灾害防治及应急管理</w:t>
      </w:r>
      <w:r>
        <w:rPr>
          <w:rFonts w:hint="default" w:ascii="仿宋_GB2312" w:hAnsi="仿宋_GB2312" w:eastAsia="仿宋_GB2312" w:cs="仿宋_GB2312"/>
          <w:color w:val="auto"/>
          <w:sz w:val="32"/>
          <w:szCs w:val="32"/>
          <w:lang w:val="en"/>
        </w:rPr>
        <w:t>支出</w:t>
      </w:r>
      <w:r>
        <w:rPr>
          <w:rFonts w:hint="eastAsia" w:ascii="仿宋_GB2312" w:hAnsi="仿宋_GB2312" w:eastAsia="仿宋_GB2312" w:cs="仿宋_GB2312"/>
          <w:color w:val="auto"/>
          <w:sz w:val="32"/>
          <w:szCs w:val="32"/>
        </w:rPr>
        <w:t>（类）其他灾害防治及应急管理（款）其他灾害</w:t>
      </w:r>
      <w:r>
        <w:rPr>
          <w:rFonts w:hint="eastAsia" w:ascii="仿宋_GB2312" w:hAnsi="仿宋_GB2312" w:eastAsia="仿宋_GB2312" w:cs="仿宋_GB2312"/>
          <w:sz w:val="32"/>
          <w:szCs w:val="32"/>
        </w:rPr>
        <w:t>防治及应急管理支出（项）。</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
        </w:rPr>
        <w:t>226.16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val="en-US" w:eastAsia="zh-CN" w:bidi="ar-SA"/>
        </w:rPr>
        <w:t>由于预算数为0，无法计算百分比。</w:t>
      </w:r>
      <w:r>
        <w:rPr>
          <w:rFonts w:hint="eastAsia" w:ascii="仿宋_GB2312" w:hAnsi="仿宋_GB2312" w:eastAsia="仿宋_GB2312" w:cs="仿宋_GB2312"/>
          <w:sz w:val="32"/>
          <w:szCs w:val="32"/>
        </w:rPr>
        <w:t>决算数大于预算数的原因是年中追加了项目指标并在本年度形成支出。</w:t>
      </w:r>
    </w:p>
    <w:p>
      <w:pPr>
        <w:pStyle w:val="2"/>
        <w:ind w:firstLine="640" w:firstLineChars="200"/>
        <w:rPr>
          <w:rFonts w:hAnsi="黑体"/>
          <w:sz w:val="32"/>
          <w:szCs w:val="32"/>
        </w:rPr>
      </w:pPr>
      <w:r>
        <w:rPr>
          <w:rFonts w:hint="eastAsia" w:hAnsi="黑体"/>
          <w:sz w:val="32"/>
          <w:szCs w:val="32"/>
        </w:rPr>
        <w:t>六、一般公共预算财政拨款基本支出决算情况说明</w:t>
      </w:r>
    </w:p>
    <w:p>
      <w:pPr>
        <w:pStyle w:val="2"/>
        <w:ind w:firstLine="640" w:firstLineChars="200"/>
        <w:rPr>
          <w:rFonts w:ascii="仿宋_GB2312" w:hAnsi="仿宋_GB2312" w:eastAsia="仿宋_GB2312" w:cs="仿宋_GB2312"/>
          <w:i/>
          <w:color w:val="FF0000"/>
          <w:sz w:val="32"/>
          <w:szCs w:val="32"/>
        </w:rPr>
      </w:pPr>
      <w:r>
        <w:rPr>
          <w:rFonts w:hint="eastAsia" w:ascii="仿宋_GB2312" w:hAnsi="仿宋_GB2312" w:eastAsia="仿宋_GB2312" w:cs="仿宋_GB2312"/>
          <w:sz w:val="32"/>
          <w:szCs w:val="32"/>
        </w:rPr>
        <w:t>2021年度财政拨款基本支出</w:t>
      </w:r>
      <w:r>
        <w:rPr>
          <w:rFonts w:hint="eastAsia" w:ascii="仿宋_GB2312" w:hAnsi="仿宋_GB2312" w:eastAsia="仿宋_GB2312" w:cs="仿宋_GB2312"/>
          <w:sz w:val="32"/>
          <w:szCs w:val="32"/>
          <w:lang w:val="en"/>
        </w:rPr>
        <w:t>150,623.37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
        </w:rPr>
        <w:t>141,636.11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
        </w:rPr>
        <w:t>94.03</w:t>
      </w:r>
      <w:r>
        <w:rPr>
          <w:rFonts w:hint="eastAsia" w:ascii="仿宋_GB2312" w:hAnsi="仿宋_GB2312" w:eastAsia="仿宋_GB2312" w:cs="仿宋_GB2312"/>
          <w:sz w:val="32"/>
          <w:szCs w:val="32"/>
        </w:rPr>
        <w:t>%,主要包括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救济费、医疗费补助、奖励金、其他对个人和家庭的补助；公用经费</w:t>
      </w:r>
      <w:r>
        <w:rPr>
          <w:rFonts w:hint="eastAsia" w:ascii="仿宋_GB2312" w:hAnsi="仿宋_GB2312" w:eastAsia="仿宋_GB2312" w:cs="仿宋_GB2312"/>
          <w:sz w:val="32"/>
          <w:szCs w:val="32"/>
          <w:lang w:val="en"/>
        </w:rPr>
        <w:t>8,987.26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
        </w:rPr>
        <w:t>5.97</w:t>
      </w:r>
      <w:r>
        <w:rPr>
          <w:rFonts w:hint="eastAsia" w:ascii="仿宋_GB2312" w:hAnsi="仿宋_GB2312" w:eastAsia="仿宋_GB2312" w:cs="仿宋_GB2312"/>
          <w:sz w:val="32"/>
          <w:szCs w:val="32"/>
        </w:rPr>
        <w:t>%，主要包括办公费、印刷费、咨询费、水费、电费、邮电费、取暖费、物业管理费、差旅费、维修（护）费、租赁费、会议费、培训费、公务接待费、专用材料费、劳务费、委托业务费、工会经费、福利费、公务用车维护运行费、其他交通费用、税金及附加、专业设备购置、其他商品和服务支出。</w:t>
      </w:r>
    </w:p>
    <w:p>
      <w:pPr>
        <w:pStyle w:val="2"/>
        <w:rPr>
          <w:rFonts w:hAnsi="黑体"/>
          <w:bCs/>
          <w:sz w:val="32"/>
          <w:szCs w:val="32"/>
        </w:rPr>
      </w:pPr>
      <w:r>
        <w:rPr>
          <w:rFonts w:hint="eastAsia" w:hAnsi="黑体"/>
          <w:b/>
          <w:sz w:val="32"/>
          <w:szCs w:val="32"/>
        </w:rPr>
        <w:t xml:space="preserve"> </w:t>
      </w:r>
      <w:r>
        <w:rPr>
          <w:rFonts w:hint="eastAsia" w:hAnsi="黑体"/>
          <w:bCs/>
          <w:sz w:val="32"/>
          <w:szCs w:val="32"/>
        </w:rPr>
        <w:t xml:space="preserve">   七、一般公共预算财政拨款“三公”经费支出决算情况说明</w:t>
      </w:r>
    </w:p>
    <w:p>
      <w:pPr>
        <w:pStyle w:val="2"/>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w:t>
      </w:r>
      <w:r>
        <w:rPr>
          <w:rFonts w:hint="eastAsia" w:ascii="楷体_GB2312" w:hAnsi="楷体_GB2312" w:eastAsia="楷体_GB2312" w:cs="楷体_GB2312"/>
          <w:b/>
          <w:sz w:val="32"/>
          <w:szCs w:val="32"/>
        </w:rPr>
        <w:t xml:space="preserve"> （一）“三公”经费财政拨款支出决算总体情况说明</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2021年度“三公”经费财政拨款支出预算为427.44万元，支出决算为310.97万元，完成预算的72.75%，其中：</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因公出国（境）费支出预算为76万元，支出决算为0万元，完成预算的0%，决算数小于预算数的主要原因是本年未安排出国考察任务。与上年相比减少</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万元，减少</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%,本年决算数与上年决算数一致。</w:t>
      </w:r>
    </w:p>
    <w:p>
      <w:pPr>
        <w:pStyle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公务接待费支出预算为</w:t>
      </w:r>
      <w:r>
        <w:rPr>
          <w:rFonts w:ascii="仿宋_GB2312" w:hAnsi="仿宋_GB2312" w:eastAsia="仿宋_GB2312" w:cs="仿宋_GB2312"/>
          <w:color w:val="auto"/>
          <w:sz w:val="32"/>
          <w:szCs w:val="32"/>
          <w:lang w:val="en"/>
        </w:rPr>
        <w:t>91.28</w:t>
      </w:r>
      <w:r>
        <w:rPr>
          <w:rFonts w:hint="eastAsia" w:ascii="仿宋_GB2312" w:hAnsi="仿宋_GB2312" w:eastAsia="仿宋_GB2312" w:cs="仿宋_GB2312"/>
          <w:color w:val="auto"/>
          <w:sz w:val="32"/>
          <w:szCs w:val="32"/>
        </w:rPr>
        <w:t>万元，支出决算为</w:t>
      </w:r>
      <w:r>
        <w:rPr>
          <w:rFonts w:ascii="仿宋_GB2312" w:hAnsi="仿宋_GB2312" w:eastAsia="仿宋_GB2312" w:cs="仿宋_GB2312"/>
          <w:color w:val="auto"/>
          <w:sz w:val="32"/>
          <w:szCs w:val="32"/>
          <w:lang w:val="en"/>
        </w:rPr>
        <w:t>52.88</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lang w:val="en"/>
        </w:rPr>
        <w:t>57.93</w:t>
      </w:r>
      <w:r>
        <w:rPr>
          <w:rFonts w:hint="eastAsia" w:ascii="仿宋_GB2312" w:hAnsi="仿宋_GB2312" w:eastAsia="仿宋_GB2312" w:cs="仿宋_GB2312"/>
          <w:color w:val="auto"/>
          <w:sz w:val="32"/>
          <w:szCs w:val="32"/>
        </w:rPr>
        <w:t>%，决算数小于预算数的主要原因是我院厉行节约，在年初预算基础上进一步压减“三公”经费支出，与上年决算数相比减少</w:t>
      </w:r>
      <w:r>
        <w:rPr>
          <w:rFonts w:ascii="仿宋_GB2312" w:hAnsi="仿宋_GB2312" w:eastAsia="仿宋_GB2312" w:cs="仿宋_GB2312"/>
          <w:color w:val="auto"/>
          <w:sz w:val="32"/>
          <w:szCs w:val="32"/>
          <w:lang w:val="en"/>
        </w:rPr>
        <w:t>24.98</w:t>
      </w:r>
      <w:r>
        <w:rPr>
          <w:rFonts w:hint="eastAsia" w:ascii="仿宋_GB2312" w:hAnsi="仿宋_GB2312" w:eastAsia="仿宋_GB2312" w:cs="仿宋_GB2312"/>
          <w:color w:val="auto"/>
          <w:sz w:val="32"/>
          <w:szCs w:val="32"/>
        </w:rPr>
        <w:t>万元，减少</w:t>
      </w:r>
      <w:r>
        <w:rPr>
          <w:rFonts w:ascii="仿宋_GB2312" w:hAnsi="仿宋_GB2312" w:eastAsia="仿宋_GB2312" w:cs="仿宋_GB2312"/>
          <w:color w:val="auto"/>
          <w:sz w:val="32"/>
          <w:szCs w:val="32"/>
          <w:lang w:val="en"/>
        </w:rPr>
        <w:t>32.08</w:t>
      </w:r>
      <w:r>
        <w:rPr>
          <w:rFonts w:hint="eastAsia" w:ascii="仿宋_GB2312" w:hAnsi="仿宋_GB2312" w:eastAsia="仿宋_GB2312" w:cs="仿宋_GB2312"/>
          <w:color w:val="auto"/>
          <w:sz w:val="32"/>
          <w:szCs w:val="32"/>
        </w:rPr>
        <w:t>%,减少的主要原因是我院厉行节约，在上年决算基础上进一步压减“三公”经费支出。</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公务用车购置费支出预算为0万元，支出决算为0万元，</w:t>
      </w:r>
      <w:r>
        <w:rPr>
          <w:rFonts w:hint="eastAsia" w:ascii="仿宋_GB2312" w:hAnsi="仿宋_GB2312" w:eastAsia="仿宋_GB2312" w:cs="仿宋_GB2312"/>
          <w:color w:val="auto"/>
          <w:sz w:val="32"/>
          <w:szCs w:val="32"/>
          <w:lang w:val="en-US" w:eastAsia="zh-CN" w:bidi="ar-SA"/>
        </w:rPr>
        <w:t>由于预算数为0，无法计算百分比。</w:t>
      </w:r>
      <w:bookmarkStart w:id="2" w:name="_GoBack"/>
      <w:bookmarkEnd w:id="2"/>
      <w:r>
        <w:rPr>
          <w:rFonts w:hint="eastAsia" w:ascii="仿宋_GB2312" w:hAnsi="仿宋_GB2312" w:eastAsia="仿宋_GB2312" w:cs="仿宋_GB2312"/>
          <w:color w:val="auto"/>
          <w:sz w:val="32"/>
          <w:szCs w:val="32"/>
        </w:rPr>
        <w:t>决算数与年初预算数一致，与上年相比减少0万元，减少0%,本年决算数与上年决算数一致。</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公务用车运行维护费支出预算为</w:t>
      </w:r>
      <w:r>
        <w:rPr>
          <w:rFonts w:ascii="仿宋_GB2312" w:hAnsi="仿宋_GB2312" w:eastAsia="仿宋_GB2312" w:cs="仿宋_GB2312"/>
          <w:color w:val="auto"/>
          <w:sz w:val="32"/>
          <w:szCs w:val="32"/>
          <w:lang w:val="en"/>
        </w:rPr>
        <w:t>260.16</w:t>
      </w:r>
      <w:r>
        <w:rPr>
          <w:rFonts w:hint="eastAsia" w:ascii="仿宋_GB2312" w:hAnsi="仿宋_GB2312" w:eastAsia="仿宋_GB2312" w:cs="仿宋_GB2312"/>
          <w:color w:val="auto"/>
          <w:sz w:val="32"/>
          <w:szCs w:val="32"/>
        </w:rPr>
        <w:t>万元，支出决算为</w:t>
      </w:r>
      <w:r>
        <w:rPr>
          <w:rFonts w:ascii="仿宋_GB2312" w:hAnsi="仿宋_GB2312" w:eastAsia="仿宋_GB2312" w:cs="仿宋_GB2312"/>
          <w:color w:val="auto"/>
          <w:sz w:val="32"/>
          <w:szCs w:val="32"/>
          <w:lang w:val="en"/>
        </w:rPr>
        <w:t>258.08</w:t>
      </w:r>
      <w:r>
        <w:rPr>
          <w:rFonts w:hint="eastAsia" w:ascii="仿宋_GB2312" w:hAnsi="仿宋_GB2312" w:eastAsia="仿宋_GB2312" w:cs="仿宋_GB2312"/>
          <w:color w:val="auto"/>
          <w:sz w:val="32"/>
          <w:szCs w:val="32"/>
        </w:rPr>
        <w:t>万元，完成预算的</w:t>
      </w:r>
      <w:r>
        <w:rPr>
          <w:rFonts w:ascii="仿宋_GB2312" w:hAnsi="仿宋_GB2312" w:eastAsia="仿宋_GB2312" w:cs="仿宋_GB2312"/>
          <w:color w:val="auto"/>
          <w:sz w:val="32"/>
          <w:szCs w:val="32"/>
          <w:lang w:val="en"/>
        </w:rPr>
        <w:t>99.2</w:t>
      </w:r>
      <w:r>
        <w:rPr>
          <w:rFonts w:hint="eastAsia" w:ascii="仿宋_GB2312" w:hAnsi="仿宋_GB2312" w:eastAsia="仿宋_GB2312" w:cs="仿宋_GB2312"/>
          <w:color w:val="auto"/>
          <w:sz w:val="32"/>
          <w:szCs w:val="32"/>
        </w:rPr>
        <w:t>%，决算数与年初预算数基本持平，与上年相比减少</w:t>
      </w:r>
      <w:r>
        <w:rPr>
          <w:rFonts w:ascii="仿宋_GB2312" w:hAnsi="仿宋_GB2312" w:eastAsia="仿宋_GB2312" w:cs="仿宋_GB2312"/>
          <w:color w:val="auto"/>
          <w:sz w:val="32"/>
          <w:szCs w:val="32"/>
          <w:lang w:val="en"/>
        </w:rPr>
        <w:t>56.76</w:t>
      </w:r>
      <w:r>
        <w:rPr>
          <w:rFonts w:hint="eastAsia" w:ascii="仿宋_GB2312" w:hAnsi="仿宋_GB2312" w:eastAsia="仿宋_GB2312" w:cs="仿宋_GB2312"/>
          <w:color w:val="auto"/>
          <w:sz w:val="32"/>
          <w:szCs w:val="32"/>
        </w:rPr>
        <w:t>万元，减少</w:t>
      </w:r>
      <w:r>
        <w:rPr>
          <w:rFonts w:ascii="仿宋_GB2312" w:hAnsi="仿宋_GB2312" w:eastAsia="仿宋_GB2312" w:cs="仿宋_GB2312"/>
          <w:color w:val="auto"/>
          <w:sz w:val="32"/>
          <w:szCs w:val="32"/>
          <w:lang w:val="en"/>
        </w:rPr>
        <w:t>18.03</w:t>
      </w:r>
      <w:r>
        <w:rPr>
          <w:rFonts w:hint="eastAsia" w:ascii="仿宋_GB2312" w:hAnsi="仿宋_GB2312" w:eastAsia="仿宋_GB2312" w:cs="仿宋_GB2312"/>
          <w:color w:val="auto"/>
          <w:sz w:val="32"/>
          <w:szCs w:val="32"/>
        </w:rPr>
        <w:t>%,减少的主要原因是我院厉行节约，严格压缩“三公”经费支出。</w:t>
      </w:r>
    </w:p>
    <w:p>
      <w:pPr>
        <w:pStyle w:val="2"/>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   （二）“三公”经费财政拨款支出决算具体情况说明</w:t>
      </w:r>
    </w:p>
    <w:p>
      <w:pPr>
        <w:pStyle w:val="2"/>
        <w:ind w:firstLine="800" w:firstLineChars="2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2021年度“三公”经费财政拨款支出决算中，公务接待费支出决算52.88万元，占17%,因公出国（境）费支出决算0万元，占0%,公务用车购置费及运行维护费支出决算258.08万元，占83%。其中：</w:t>
      </w:r>
    </w:p>
    <w:p>
      <w:pPr>
        <w:pStyle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1、因公出国（境）费支出决算为0万元，全年安排因公出国（境）团组0个，累计0人次,无开支内容。</w:t>
      </w:r>
    </w:p>
    <w:p>
      <w:pPr>
        <w:pStyle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2、公务接待费支出决算为52.88万元，全年共接待来访团组954个、来宾7808人次，主要是日常发生的接待支出。</w:t>
      </w:r>
    </w:p>
    <w:p>
      <w:pPr>
        <w:pStyle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3、公务用车购置费及运行维护费支出决算为258.08万元，其中：公务用车购置费0万元</w:t>
      </w:r>
      <w:r>
        <w:rPr>
          <w:rFonts w:hint="eastAsia" w:ascii="仿宋_GB2312" w:hAnsi="仿宋_GB2312" w:eastAsia="仿宋_GB2312" w:cs="仿宋_GB2312"/>
          <w:color w:val="auto"/>
          <w:sz w:val="32"/>
          <w:szCs w:val="32"/>
          <w:lang w:eastAsia="zh-CN"/>
        </w:rPr>
        <w:t>，单位本级及院属单位</w:t>
      </w:r>
      <w:r>
        <w:rPr>
          <w:rFonts w:hint="eastAsia" w:ascii="仿宋_GB2312" w:hAnsi="仿宋_GB2312" w:eastAsia="仿宋_GB2312" w:cs="仿宋_GB2312"/>
          <w:color w:val="auto"/>
          <w:sz w:val="32"/>
          <w:szCs w:val="32"/>
        </w:rPr>
        <w:t>更新公务用车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辆。公务用车运行维护费</w:t>
      </w:r>
      <w:r>
        <w:rPr>
          <w:rFonts w:ascii="仿宋_GB2312" w:hAnsi="仿宋_GB2312" w:eastAsia="仿宋_GB2312" w:cs="仿宋_GB2312"/>
          <w:color w:val="auto"/>
          <w:sz w:val="32"/>
          <w:szCs w:val="32"/>
        </w:rPr>
        <w:t>258.08</w:t>
      </w:r>
      <w:r>
        <w:rPr>
          <w:rFonts w:hint="eastAsia" w:ascii="仿宋_GB2312" w:hAnsi="仿宋_GB2312" w:eastAsia="仿宋_GB2312" w:cs="仿宋_GB2312"/>
          <w:color w:val="auto"/>
          <w:sz w:val="32"/>
          <w:szCs w:val="32"/>
        </w:rPr>
        <w:t>万元，主要是车辆燃油费、维修费等支出，截止2021年12月31日，我单位开支财政拨款的公务用车保有量为89辆。</w:t>
      </w:r>
    </w:p>
    <w:p>
      <w:pPr>
        <w:pStyle w:val="2"/>
        <w:rPr>
          <w:rFonts w:hAnsi="黑体"/>
          <w:bCs/>
          <w:sz w:val="32"/>
          <w:szCs w:val="32"/>
        </w:rPr>
      </w:pPr>
      <w:r>
        <w:rPr>
          <w:rFonts w:hint="eastAsia" w:hAnsi="黑体"/>
          <w:bCs/>
          <w:sz w:val="32"/>
          <w:szCs w:val="32"/>
        </w:rPr>
        <w:t xml:space="preserve">    八、政府性基金预算收入支出决算情况</w:t>
      </w:r>
    </w:p>
    <w:p>
      <w:pPr>
        <w:pStyle w:val="2"/>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2021年度政府性基金预算财政拨款收入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万元；年初结转和结余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万元；年末结转和结余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具体情况如下：</w:t>
      </w:r>
    </w:p>
    <w:p>
      <w:pPr>
        <w:pStyle w:val="2"/>
        <w:ind w:firstLine="640"/>
        <w:rPr>
          <w:rFonts w:ascii="仿宋_GB2312" w:hAnsi="仿宋_GB2312" w:eastAsia="仿宋_GB2312" w:cs="仿宋_GB2312"/>
          <w:bCs/>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sz w:val="32"/>
          <w:szCs w:val="32"/>
        </w:rPr>
        <w:t>我院2021年无政府性基金预算收入支出。</w:t>
      </w:r>
    </w:p>
    <w:p>
      <w:pPr>
        <w:pStyle w:val="2"/>
        <w:rPr>
          <w:rFonts w:hAnsi="黑体"/>
          <w:bCs/>
          <w:sz w:val="32"/>
          <w:szCs w:val="32"/>
        </w:rPr>
      </w:pPr>
      <w:r>
        <w:rPr>
          <w:rFonts w:hint="eastAsia" w:asciiTheme="minorEastAsia" w:hAnsiTheme="minorEastAsia" w:eastAsiaTheme="minorEastAsia"/>
          <w:sz w:val="32"/>
          <w:szCs w:val="32"/>
        </w:rPr>
        <w:t xml:space="preserve">    </w:t>
      </w:r>
      <w:r>
        <w:rPr>
          <w:rFonts w:hint="eastAsia" w:hAnsi="黑体"/>
          <w:bCs/>
          <w:sz w:val="32"/>
          <w:szCs w:val="32"/>
        </w:rPr>
        <w:t>九、机关运行经费支出说明</w:t>
      </w:r>
    </w:p>
    <w:p>
      <w:pPr>
        <w:pStyle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本部门2021年度机关运行经费支出2308.66万元，比年初预算数1704万元增加604.66万元，增长35.48%。主要原因是支付了</w:t>
      </w:r>
      <w:r>
        <w:rPr>
          <w:rFonts w:hint="default" w:ascii="仿宋_GB2312" w:hAnsi="仿宋_GB2312" w:eastAsia="仿宋_GB2312" w:cs="仿宋_GB2312"/>
          <w:color w:val="auto"/>
          <w:sz w:val="32"/>
          <w:szCs w:val="32"/>
          <w:lang w:val="en"/>
        </w:rPr>
        <w:t>以前年度欠缴的</w:t>
      </w:r>
      <w:r>
        <w:rPr>
          <w:rFonts w:hint="eastAsia" w:ascii="仿宋_GB2312" w:hAnsi="仿宋_GB2312" w:eastAsia="仿宋_GB2312" w:cs="仿宋_GB2312"/>
          <w:color w:val="auto"/>
          <w:sz w:val="32"/>
          <w:szCs w:val="32"/>
        </w:rPr>
        <w:t>院</w:t>
      </w:r>
      <w:r>
        <w:rPr>
          <w:rFonts w:hint="eastAsia" w:ascii="仿宋_GB2312" w:hAnsi="仿宋_GB2312" w:eastAsia="仿宋_GB2312" w:cs="仿宋_GB2312"/>
          <w:color w:val="auto"/>
          <w:sz w:val="32"/>
          <w:szCs w:val="32"/>
          <w:lang w:eastAsia="zh-CN"/>
        </w:rPr>
        <w:t>办公楼相关费用</w:t>
      </w:r>
      <w:r>
        <w:rPr>
          <w:rFonts w:hint="eastAsia" w:ascii="仿宋_GB2312" w:hAnsi="仿宋_GB2312" w:eastAsia="仿宋_GB2312" w:cs="仿宋_GB2312"/>
          <w:color w:val="auto"/>
          <w:sz w:val="32"/>
          <w:szCs w:val="32"/>
        </w:rPr>
        <w:t>。</w:t>
      </w:r>
    </w:p>
    <w:p>
      <w:pPr>
        <w:pStyle w:val="2"/>
        <w:rPr>
          <w:rFonts w:hAnsi="黑体"/>
          <w:bCs/>
          <w:sz w:val="32"/>
          <w:szCs w:val="32"/>
        </w:rPr>
      </w:pPr>
      <w:r>
        <w:rPr>
          <w:rFonts w:hint="eastAsia" w:hAnsi="黑体"/>
          <w:bCs/>
          <w:sz w:val="32"/>
          <w:szCs w:val="32"/>
        </w:rPr>
        <w:t xml:space="preserve">    十、一般性支出情况说明</w:t>
      </w:r>
    </w:p>
    <w:p>
      <w:pPr>
        <w:pStyle w:val="2"/>
        <w:rPr>
          <w:rFonts w:ascii="仿宋_GB2312" w:hAnsi="仿宋_GB2312" w:eastAsia="仿宋_GB2312" w:cs="仿宋_GB2312"/>
          <w:bCs/>
          <w:sz w:val="32"/>
          <w:szCs w:val="32"/>
        </w:rPr>
      </w:pPr>
      <w:r>
        <w:rPr>
          <w:rFonts w:hint="eastAsia" w:ascii="楷体_GB2312" w:hAnsi="楷体_GB2312" w:eastAsia="楷体_GB2312" w:cs="楷体_GB2312"/>
          <w:bCs/>
          <w:sz w:val="32"/>
          <w:szCs w:val="32"/>
        </w:rPr>
        <w:t xml:space="preserve">   </w:t>
      </w:r>
      <w:r>
        <w:rPr>
          <w:rFonts w:hint="eastAsia" w:ascii="仿宋_GB2312" w:hAnsi="仿宋_GB2312" w:eastAsia="仿宋_GB2312" w:cs="仿宋_GB2312"/>
          <w:bCs/>
          <w:sz w:val="32"/>
          <w:szCs w:val="32"/>
        </w:rPr>
        <w:t xml:space="preserve"> 2021年本部门开支会</w:t>
      </w:r>
      <w:r>
        <w:rPr>
          <w:rFonts w:hint="eastAsia" w:ascii="仿宋_GB2312" w:hAnsi="仿宋_GB2312" w:eastAsia="仿宋_GB2312" w:cs="仿宋_GB2312"/>
          <w:bCs/>
          <w:color w:val="auto"/>
          <w:sz w:val="32"/>
          <w:szCs w:val="32"/>
        </w:rPr>
        <w:t>议费94.12万元，用于召开2021年度工作会、职工代表会议、地质灾害防治讨论会、遥感影像及数据生产项目会议等相关会议，人数</w:t>
      </w:r>
      <w:r>
        <w:rPr>
          <w:rFonts w:hint="eastAsia" w:ascii="仿宋_GB2312" w:hAnsi="仿宋_GB2312" w:eastAsia="仿宋_GB2312" w:cs="仿宋_GB2312"/>
          <w:bCs/>
          <w:color w:val="auto"/>
          <w:sz w:val="32"/>
          <w:szCs w:val="32"/>
          <w:lang w:val="en"/>
        </w:rPr>
        <w:t>2661</w:t>
      </w:r>
      <w:r>
        <w:rPr>
          <w:rFonts w:hint="eastAsia" w:ascii="仿宋_GB2312" w:hAnsi="仿宋_GB2312" w:eastAsia="仿宋_GB2312" w:cs="仿宋_GB2312"/>
          <w:bCs/>
          <w:color w:val="auto"/>
          <w:sz w:val="32"/>
          <w:szCs w:val="32"/>
        </w:rPr>
        <w:t>人，内容为2021年度工作会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听取并审议单位工作报告等报告事项、地质灾害防治讨论会、项目技术交流及经验总结</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遥感影像及数据生产项目</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会议；开支培训费271.89万元，</w:t>
      </w:r>
      <w:r>
        <w:rPr>
          <w:rFonts w:hint="eastAsia" w:ascii="仿宋_GB2312" w:hAnsi="仿宋_GB2312" w:eastAsia="仿宋_GB2312" w:cs="仿宋_GB2312"/>
          <w:bCs/>
          <w:sz w:val="32"/>
          <w:szCs w:val="32"/>
        </w:rPr>
        <w:t>人数</w:t>
      </w:r>
      <w:r>
        <w:rPr>
          <w:rFonts w:hint="eastAsia" w:ascii="仿宋_GB2312" w:hAnsi="仿宋_GB2312" w:eastAsia="仿宋_GB2312" w:cs="仿宋_GB2312"/>
          <w:bCs/>
          <w:sz w:val="32"/>
          <w:szCs w:val="32"/>
          <w:lang w:val="en"/>
        </w:rPr>
        <w:t>3478</w:t>
      </w:r>
      <w:r>
        <w:rPr>
          <w:rFonts w:hint="eastAsia" w:ascii="仿宋_GB2312" w:hAnsi="仿宋_GB2312" w:eastAsia="仿宋_GB2312" w:cs="仿宋_GB2312"/>
          <w:bCs/>
          <w:sz w:val="32"/>
          <w:szCs w:val="32"/>
        </w:rPr>
        <w:t>人，内容为用于开展油气钻井从业人员关于三证取证培训</w:t>
      </w:r>
      <w:r>
        <w:rPr>
          <w:rFonts w:hint="eastAsia" w:ascii="仿宋_GB2312" w:hAnsi="仿宋_GB2312" w:eastAsia="仿宋_GB2312" w:cs="仿宋_GB2312"/>
          <w:bCs/>
          <w:sz w:val="32"/>
          <w:szCs w:val="32"/>
          <w:lang w:eastAsia="zh-CN"/>
        </w:rPr>
        <w:t>班</w:t>
      </w:r>
      <w:r>
        <w:rPr>
          <w:rFonts w:hint="eastAsia" w:ascii="仿宋_GB2312" w:hAnsi="仿宋_GB2312" w:eastAsia="仿宋_GB2312" w:cs="仿宋_GB2312"/>
          <w:bCs/>
          <w:sz w:val="32"/>
          <w:szCs w:val="32"/>
        </w:rPr>
        <w:t>、省委党校培训、审计人员参加内部审计协会培训、开展继续教育培训、开展地勘、测绘、财务、审计、统计、档案、公文写作与管理等专业培训、</w:t>
      </w:r>
      <w:r>
        <w:rPr>
          <w:rFonts w:hint="eastAsia" w:ascii="仿宋_GB2312" w:hAnsi="仿宋_GB2312" w:eastAsia="仿宋_GB2312" w:cs="仿宋_GB2312"/>
          <w:bCs/>
          <w:sz w:val="32"/>
          <w:szCs w:val="32"/>
          <w:lang w:eastAsia="zh-CN"/>
        </w:rPr>
        <w:t>消防培训、</w:t>
      </w:r>
      <w:r>
        <w:rPr>
          <w:rFonts w:hint="eastAsia" w:ascii="仿宋_GB2312" w:hAnsi="仿宋_GB2312" w:eastAsia="仿宋_GB2312" w:cs="仿宋_GB2312"/>
          <w:bCs/>
          <w:sz w:val="32"/>
          <w:szCs w:val="32"/>
        </w:rPr>
        <w:t>安全生产培训、地勘单位转型人员培训，</w:t>
      </w:r>
      <w:r>
        <w:rPr>
          <w:rFonts w:hint="eastAsia" w:ascii="仿宋_GB2312" w:hAnsi="仿宋_GB2312" w:eastAsia="仿宋_GB2312" w:cs="仿宋_GB2312"/>
          <w:bCs/>
          <w:sz w:val="32"/>
          <w:szCs w:val="32"/>
          <w:lang w:eastAsia="zh-CN"/>
        </w:rPr>
        <w:t>内容为</w:t>
      </w:r>
      <w:r>
        <w:rPr>
          <w:rFonts w:hint="eastAsia" w:ascii="仿宋_GB2312" w:hAnsi="仿宋_GB2312" w:eastAsia="仿宋_GB2312" w:cs="仿宋_GB2312"/>
          <w:bCs/>
          <w:sz w:val="32"/>
          <w:szCs w:val="32"/>
        </w:rPr>
        <w:t>油气钻井从业人员关于三证取证培训、参加中共湖南省党校干部理论研修班培训、审计人员参加中国内部审计协会2021年面授培训、会计继续教育培训、开展地勘、测绘、财务、审计、统计、档案、公文写作与管理等专业培训、消防培训、施工技术与安全知识培训费、安全生产相关法律法规安全技术知识培训、湖南省2021年绿色矿山建设第三方评估培训、质量管理小组活动准则、全省矿产资源储量技术要求培训、核技术在地质勘查中的应用和知识培训等；全年未举办节庆、晚会、论坛、赛事活动，开支0万元。</w:t>
      </w:r>
    </w:p>
    <w:p>
      <w:pPr>
        <w:pStyle w:val="2"/>
        <w:rPr>
          <w:rFonts w:hAnsi="黑体"/>
          <w:bCs/>
          <w:sz w:val="32"/>
          <w:szCs w:val="32"/>
        </w:rPr>
      </w:pPr>
      <w:r>
        <w:rPr>
          <w:rFonts w:hint="eastAsia" w:hAnsi="黑体"/>
          <w:bCs/>
          <w:sz w:val="32"/>
          <w:szCs w:val="32"/>
        </w:rPr>
        <w:t xml:space="preserve">    十一、政府采购支出说明</w:t>
      </w:r>
    </w:p>
    <w:p>
      <w:pPr>
        <w:pStyle w:val="2"/>
        <w:ind w:firstLine="640" w:firstLineChars="200"/>
        <w:rPr>
          <w:rFonts w:hint="eastAsia" w:ascii="仿宋_GB2312" w:hAnsi="仿宋_GB2312" w:eastAsia="仿宋_GB2312" w:cs="仿宋_GB2312"/>
          <w:bCs/>
          <w:color w:val="auto"/>
          <w:sz w:val="32"/>
          <w:szCs w:val="32"/>
        </w:rPr>
      </w:pPr>
      <w:r>
        <w:rPr>
          <w:rFonts w:hint="eastAsia" w:ascii="楷体_GB2312" w:hAnsi="楷体_GB2312" w:eastAsia="楷体_GB2312" w:cs="楷体_GB2312"/>
          <w:bCs/>
          <w:sz w:val="32"/>
          <w:szCs w:val="32"/>
        </w:rPr>
        <w:t xml:space="preserve"> </w:t>
      </w:r>
      <w:r>
        <w:rPr>
          <w:rFonts w:hint="eastAsia" w:ascii="仿宋_GB2312" w:hAnsi="仿宋_GB2312" w:eastAsia="仿宋_GB2312" w:cs="仿宋_GB2312"/>
          <w:bCs/>
          <w:color w:val="auto"/>
          <w:sz w:val="32"/>
          <w:szCs w:val="32"/>
        </w:rPr>
        <w:t>本部门2021年度政府采购支出总额1289.14万元，其中：政府采购货物支出698.21万元、政府采购工程支出369.84万元、政府采购服务支出221.09万元。授予中小企业合同金额345.71万元，占政府采购支出总额的26.81%，其中：授予小微企业合同金额315.72万元，占授予中小企</w:t>
      </w:r>
      <w:r>
        <w:rPr>
          <w:rFonts w:hint="eastAsia" w:ascii="仿宋_GB2312" w:hAnsi="仿宋_GB2312" w:eastAsia="仿宋_GB2312" w:cs="仿宋_GB2312"/>
          <w:color w:val="auto"/>
          <w:sz w:val="32"/>
          <w:szCs w:val="32"/>
        </w:rPr>
        <w:t>业合同金额的91.33%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货物采购授予中小企业合同金额占货物支出金额的</w:t>
      </w:r>
      <w:r>
        <w:rPr>
          <w:rFonts w:hint="eastAsia" w:ascii="仿宋_GB2312" w:hAnsi="仿宋_GB2312" w:eastAsia="仿宋_GB2312" w:cs="仿宋_GB2312"/>
          <w:bCs/>
          <w:color w:val="auto"/>
          <w:sz w:val="32"/>
          <w:szCs w:val="32"/>
          <w:lang w:val="en-US" w:eastAsia="zh-CN"/>
        </w:rPr>
        <w:t>49</w:t>
      </w:r>
      <w:r>
        <w:rPr>
          <w:rFonts w:hint="eastAsia" w:ascii="仿宋_GB2312" w:hAnsi="仿宋_GB2312" w:eastAsia="仿宋_GB2312" w:cs="仿宋_GB2312"/>
          <w:bCs/>
          <w:color w:val="auto"/>
          <w:sz w:val="32"/>
          <w:szCs w:val="32"/>
        </w:rPr>
        <w:t>%，工程采购授予中小企业合同金额占工程支出金额的</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%，服务采购授予中小企业合同金额占服务支出金额的</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w:t>
      </w:r>
    </w:p>
    <w:p>
      <w:pPr>
        <w:pStyle w:val="2"/>
        <w:rPr>
          <w:rFonts w:hAnsi="黑体"/>
          <w:bCs/>
          <w:sz w:val="32"/>
          <w:szCs w:val="32"/>
        </w:rPr>
      </w:pPr>
      <w:r>
        <w:rPr>
          <w:rFonts w:hint="eastAsia" w:hAnsi="黑体"/>
          <w:b/>
          <w:sz w:val="32"/>
          <w:szCs w:val="32"/>
        </w:rPr>
        <w:t xml:space="preserve">    </w:t>
      </w:r>
      <w:r>
        <w:rPr>
          <w:rFonts w:hint="eastAsia" w:hAnsi="黑体"/>
          <w:bCs/>
          <w:sz w:val="32"/>
          <w:szCs w:val="32"/>
        </w:rPr>
        <w:t>十二、国有资产占用情况说明</w:t>
      </w:r>
    </w:p>
    <w:p>
      <w:pPr>
        <w:pStyle w:val="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2021年12月31日，部门（单位）共有车辆149辆，其中，主要领导干部用车2辆，机要通信用车7辆、应急保障用车13辆、执法执勤用车0辆、特种专业技术用车12辆、离退休干部用车5辆、其他用车110辆，其他用车主要是</w:t>
      </w:r>
      <w:r>
        <w:rPr>
          <w:rFonts w:hint="eastAsia" w:ascii="仿宋_GB2312" w:hAnsi="仿宋_GB2312" w:eastAsia="仿宋_GB2312" w:cs="仿宋_GB2312"/>
          <w:color w:val="auto"/>
          <w:sz w:val="32"/>
          <w:szCs w:val="32"/>
          <w:lang w:bidi="ar"/>
        </w:rPr>
        <w:t>野外项目工地用车等</w:t>
      </w:r>
      <w:r>
        <w:rPr>
          <w:rFonts w:hint="eastAsia" w:ascii="仿宋_GB2312" w:hAnsi="仿宋_GB2312" w:eastAsia="仿宋_GB2312" w:cs="仿宋_GB2312"/>
          <w:color w:val="auto"/>
          <w:sz w:val="32"/>
          <w:szCs w:val="32"/>
        </w:rPr>
        <w:t>；单位价值50万元以上通用设备44台（套）；单位价值100万元以上专用设备48台（套）。</w:t>
      </w:r>
    </w:p>
    <w:p>
      <w:pPr>
        <w:pStyle w:val="2"/>
        <w:rPr>
          <w:rFonts w:hAnsi="黑体"/>
          <w:bCs/>
          <w:sz w:val="32"/>
          <w:szCs w:val="32"/>
        </w:rPr>
      </w:pPr>
      <w:r>
        <w:rPr>
          <w:rFonts w:hint="eastAsia" w:hAnsi="黑体"/>
          <w:b/>
          <w:sz w:val="32"/>
          <w:szCs w:val="32"/>
        </w:rPr>
        <w:t xml:space="preserve">   </w:t>
      </w:r>
      <w:r>
        <w:rPr>
          <w:rFonts w:hint="eastAsia" w:hAnsi="黑体"/>
          <w:bCs/>
          <w:sz w:val="32"/>
          <w:szCs w:val="32"/>
        </w:rPr>
        <w:t xml:space="preserve"> 十三、2021年度预算绩效情况说明</w:t>
      </w:r>
    </w:p>
    <w:p>
      <w:pPr>
        <w:pStyle w:val="2"/>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我院无中央和省级专项资金，所有财政专项资金均为省自然资源厅等主管部门安排的各类地质、环保等项目费用，省自然资源厅每年均组织我院开展绩效评价等相关工作，</w:t>
      </w:r>
    </w:p>
    <w:p>
      <w:pPr>
        <w:pStyle w:val="2"/>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本部门预算绩效管理开展情况、绩效目标和绩效评价等已形成部门整体支出绩效评价报告，并于2022年5月向省财政厅提交并在湖南省地质院门户网站上公开（详见附件）。</w:t>
      </w:r>
    </w:p>
    <w:p>
      <w:pPr>
        <w:pStyle w:val="2"/>
        <w:jc w:val="center"/>
        <w:rPr>
          <w:rFonts w:ascii="仿宋_GB2312" w:hAnsi="仿宋_GB2312" w:eastAsia="仿宋_GB2312" w:cs="仿宋_GB2312"/>
          <w:sz w:val="32"/>
          <w:szCs w:val="3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rPr>
          <w:sz w:val="72"/>
          <w:szCs w:val="72"/>
        </w:rPr>
      </w:pPr>
    </w:p>
    <w:p>
      <w:pPr>
        <w:pStyle w:val="2"/>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2"/>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一、基本支出：指为保障机构正常运转、完成日常工作任务而发生的各项支出，包括人员支出和公用支出。</w:t>
      </w:r>
    </w:p>
    <w:p>
      <w:pPr>
        <w:pStyle w:val="2"/>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二、项目支出：指在基本支出以外为完成相关行政任务和事业发展目标所发生的各项支出。</w:t>
      </w:r>
    </w:p>
    <w:p>
      <w:pPr>
        <w:pStyle w:val="2"/>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三、“三公”经费：指通过财政拨款资金安排的因公出国（境）费、公务用车购置及运行费和公务接待费支出。</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四、机关运行经费：是</w:t>
      </w:r>
      <w:r>
        <w:rPr>
          <w:rFonts w:hint="eastAsia" w:ascii="仿宋_GB2312" w:hAnsi="仿宋_GB2312" w:eastAsia="仿宋_GB2312" w:cs="仿宋_GB2312"/>
          <w:sz w:val="32"/>
          <w:szCs w:val="32"/>
        </w:rPr>
        <w:t>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3"/>
        <w:ind w:left="0" w:leftChars="0" w:firstLine="640" w:firstLineChars="200"/>
        <w:rPr>
          <w:rFonts w:hint="eastAsia" w:ascii="仿宋_GB2312" w:hAnsi="仿宋_GB2312" w:eastAsia="仿宋_GB2312" w:cs="仿宋_GB2312"/>
          <w:b w:val="0"/>
          <w:bCs w:val="0"/>
          <w:color w:val="000000"/>
          <w:sz w:val="32"/>
          <w:szCs w:val="32"/>
          <w:lang w:val="en" w:eastAsia="zh-CN" w:bidi="ar-SA"/>
        </w:rPr>
      </w:pPr>
      <w:r>
        <w:rPr>
          <w:rFonts w:hint="eastAsia" w:ascii="仿宋_GB2312" w:hAnsi="仿宋_GB2312" w:eastAsia="仿宋_GB2312" w:cs="仿宋_GB2312"/>
          <w:b w:val="0"/>
          <w:bCs w:val="0"/>
          <w:color w:val="000000"/>
          <w:sz w:val="32"/>
          <w:szCs w:val="32"/>
          <w:lang w:val="en" w:eastAsia="zh-CN" w:bidi="ar-SA"/>
        </w:rPr>
        <w:t>五、地质矿产资源与环境调查：反映用于中国地质调查局开展陆域海域公益性基础地质调查、重要能源资源矿产调查；服务国民经济和生态文件检索，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rPr>
          <w:rFonts w:hint="eastAsia" w:ascii="仿宋_GB2312" w:hAnsi="仿宋_GB2312" w:eastAsia="仿宋_GB2312" w:cs="仿宋_GB2312"/>
          <w:b w:val="0"/>
          <w:bCs w:val="0"/>
          <w:color w:val="000000"/>
          <w:sz w:val="32"/>
          <w:szCs w:val="32"/>
          <w:lang w:val="en"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2"/>
          <w:sz w:val="32"/>
          <w:szCs w:val="32"/>
          <w:lang w:val="en" w:eastAsia="zh-CN" w:bidi="ar-SA"/>
        </w:rPr>
        <w:t>六、地质勘查与矿产资源管理：</w:t>
      </w:r>
      <w:r>
        <w:rPr>
          <w:rFonts w:hint="eastAsia" w:ascii="仿宋_GB2312" w:hAnsi="仿宋_GB2312" w:eastAsia="仿宋_GB2312" w:cs="仿宋_GB2312"/>
          <w:b w:val="0"/>
          <w:bCs w:val="0"/>
          <w:color w:val="000000"/>
          <w:sz w:val="32"/>
          <w:szCs w:val="32"/>
          <w:lang w:val="en" w:eastAsia="zh-CN" w:bidi="ar-SA"/>
        </w:rPr>
        <w:t>反映用于地质勘查行业和地质工作管理，矿业权管理，矿产资源合理利用和保护等方面的支出。</w:t>
      </w:r>
    </w:p>
    <w:p>
      <w:pPr>
        <w:pStyle w:val="9"/>
        <w:ind w:left="0" w:leftChars="0" w:firstLine="0" w:firstLineChars="0"/>
        <w:rPr>
          <w:rFonts w:hint="eastAsia" w:ascii="仿宋_GB2312" w:hAnsi="仿宋_GB2312" w:eastAsia="仿宋_GB2312" w:cs="仿宋_GB2312"/>
          <w:b w:val="0"/>
          <w:bCs w:val="0"/>
          <w:color w:val="000000"/>
          <w:sz w:val="32"/>
          <w:szCs w:val="32"/>
          <w:lang w:val="en"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2"/>
          <w:sz w:val="32"/>
          <w:szCs w:val="32"/>
          <w:lang w:val="en" w:eastAsia="zh-CN" w:bidi="ar-SA"/>
        </w:rPr>
        <w:t>七、自然资源利用和保护：</w:t>
      </w:r>
      <w:r>
        <w:rPr>
          <w:rFonts w:hint="eastAsia" w:ascii="仿宋_GB2312" w:hAnsi="仿宋_GB2312" w:eastAsia="仿宋_GB2312" w:cs="仿宋_GB2312"/>
          <w:b w:val="0"/>
          <w:bCs w:val="0"/>
          <w:color w:val="000000"/>
          <w:sz w:val="32"/>
          <w:szCs w:val="32"/>
          <w:lang w:val="en" w:eastAsia="zh-CN" w:bidi="ar-SA"/>
        </w:rPr>
        <w:t>反映用于自然资源有偿使用与合理开发利用，国土空间生态修复，国土整治，耕地保护等方面的支出。</w:t>
      </w:r>
    </w:p>
    <w:p>
      <w:pPr>
        <w:pStyle w:val="9"/>
        <w:ind w:left="0" w:leftChars="0" w:firstLine="0" w:firstLineChars="0"/>
        <w:rPr>
          <w:rFonts w:hint="eastAsia" w:ascii="仿宋_GB2312" w:hAnsi="仿宋_GB2312" w:eastAsia="仿宋_GB2312" w:cs="仿宋_GB2312"/>
          <w:b w:val="0"/>
          <w:bCs w:val="0"/>
          <w:color w:val="000000"/>
          <w:sz w:val="32"/>
          <w:szCs w:val="32"/>
          <w:lang w:val="en" w:eastAsia="zh-CN" w:bidi="ar-SA"/>
        </w:rPr>
      </w:pPr>
      <w:r>
        <w:rPr>
          <w:rFonts w:hint="eastAsia" w:ascii="仿宋_GB2312" w:hAnsi="仿宋_GB2312" w:eastAsia="仿宋_GB2312" w:cs="仿宋_GB2312"/>
          <w:b w:val="0"/>
          <w:bCs w:val="0"/>
          <w:color w:val="000000"/>
          <w:sz w:val="32"/>
          <w:szCs w:val="32"/>
          <w:lang w:val="en-US" w:eastAsia="zh-CN" w:bidi="ar-SA"/>
        </w:rPr>
        <w:t xml:space="preserve">    </w:t>
      </w:r>
      <w:r>
        <w:rPr>
          <w:rFonts w:hint="eastAsia" w:ascii="仿宋_GB2312" w:hAnsi="仿宋_GB2312" w:eastAsia="仿宋_GB2312" w:cs="仿宋_GB2312"/>
          <w:b w:val="0"/>
          <w:bCs w:val="0"/>
          <w:color w:val="000000"/>
          <w:sz w:val="32"/>
          <w:szCs w:val="32"/>
          <w:lang w:val="en" w:eastAsia="zh-CN" w:bidi="ar-SA"/>
        </w:rPr>
        <w:t>八、自然资源调查与确权登记：反映自然资源部门用于自然资源调查监测评价，自然资源统一确权登记等方面的支出。</w:t>
      </w:r>
    </w:p>
    <w:p>
      <w:pPr>
        <w:pStyle w:val="2"/>
        <w:jc w:val="center"/>
        <w:rPr>
          <w:sz w:val="72"/>
          <w:szCs w:val="72"/>
        </w:rPr>
      </w:pPr>
      <w:r>
        <w:rPr>
          <w:rFonts w:hint="eastAsia" w:ascii="仿宋_GB2312" w:hAnsi="仿宋_GB2312" w:eastAsia="仿宋_GB2312" w:cs="仿宋_GB2312"/>
          <w:b w:val="0"/>
          <w:bCs w:val="0"/>
          <w:color w:val="000000"/>
          <w:sz w:val="32"/>
          <w:szCs w:val="32"/>
          <w:lang w:val="en-US" w:eastAsia="zh-CN" w:bidi="ar-SA"/>
        </w:rPr>
        <w:t xml:space="preserve">  </w:t>
      </w: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p>
    <w:p>
      <w:pPr>
        <w:pStyle w:val="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jc w:val="center"/>
        <w:rPr>
          <w:rFonts w:ascii="Times New Roman" w:hAnsi="Times New Roman" w:eastAsia="黑体" w:cs="Times New Roman"/>
          <w:sz w:val="32"/>
          <w:szCs w:val="32"/>
        </w:rPr>
      </w:pPr>
    </w:p>
    <w:p>
      <w:pPr>
        <w:numPr>
          <w:ilvl w:val="0"/>
          <w:numId w:val="1"/>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部门基本情况</w:t>
      </w:r>
    </w:p>
    <w:p>
      <w:pPr>
        <w:widowControl/>
        <w:spacing w:line="600" w:lineRule="exact"/>
        <w:ind w:firstLine="627" w:firstLineChars="196"/>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湖南省地质院为省自然资源厅管理的公益一类事业单位，机构规格相当于正厅级；主要承担国家和全省基础性、公益性地质调查、战略性矿产勘查和地质科学研究工作，为全省自然资源管理提供地质技术支持，开展区域地质、地球物理、地球化学、遥感地质、旅游地质调查，承担能源、矿产、水资源及其他战略资源远景评价与勘查，承担地质灾害防治调查评价、专业监测等服务，开展核地质调查评价与勘查，承担核应急地质技术支持和核地质技术应用及科普工作等。</w:t>
      </w:r>
    </w:p>
    <w:p>
      <w:pPr>
        <w:widowControl/>
        <w:spacing w:line="600" w:lineRule="exact"/>
        <w:ind w:firstLine="627" w:firstLineChars="196"/>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院机关设办公室、组织人事部、财务资产部、发展规划室、地质调查室等15个内设机构及院后勤服务中心。2021年，我院下设48家正处级事业单位；同年，整合组建为15家省直地质事业单位，均为省地质院管理的事业单位，机构规格相当于正处级。</w:t>
      </w:r>
    </w:p>
    <w:p>
      <w:pPr>
        <w:widowControl/>
        <w:spacing w:line="600" w:lineRule="exact"/>
        <w:ind w:firstLine="627" w:firstLineChars="196"/>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截止2021年12月，我院核定人员编制总计6998人，实有人数总计32841人。实有人数中：在职人员13460人，离休人员55人，退休人员19326人（退休人员已全部纳入养老统筹）。</w:t>
      </w:r>
    </w:p>
    <w:p>
      <w:pPr>
        <w:pStyle w:val="14"/>
        <w:widowControl/>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pPr>
        <w:pStyle w:val="14"/>
        <w:widowControl/>
        <w:spacing w:line="600"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（一）基本支出情况</w:t>
      </w:r>
    </w:p>
    <w:p>
      <w:pPr>
        <w:widowControl/>
        <w:spacing w:line="600" w:lineRule="exact"/>
        <w:ind w:firstLine="627" w:firstLineChars="196"/>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基本支出主要是为保障单位正常运转、完成日常工作任务而发生的各项支出，包括用于基本工资、津贴补贴等人员经费以及办公费、印刷费、水电费、办公设备购置等公用经费。</w:t>
      </w:r>
      <w:r>
        <w:rPr>
          <w:rFonts w:hint="eastAsia" w:ascii="Times New Roman" w:hAnsi="Times New Roman" w:eastAsia="仿宋_GB2312" w:cs="Times New Roman"/>
          <w:color w:val="000000"/>
          <w:sz w:val="32"/>
          <w:szCs w:val="32"/>
          <w:lang w:val="en"/>
        </w:rPr>
        <w:t>202</w:t>
      </w:r>
      <w:r>
        <w:rPr>
          <w:rFonts w:ascii="Times New Roman" w:hAnsi="Times New Roman" w:eastAsia="仿宋_GB2312" w:cs="Times New Roman"/>
          <w:color w:val="000000"/>
          <w:sz w:val="32"/>
          <w:szCs w:val="32"/>
          <w:lang w:val="en"/>
        </w:rPr>
        <w:t>1</w:t>
      </w:r>
      <w:r>
        <w:rPr>
          <w:rFonts w:hint="eastAsia" w:ascii="Times New Roman" w:hAnsi="Times New Roman" w:eastAsia="仿宋_GB2312" w:cs="Times New Roman"/>
          <w:color w:val="000000"/>
          <w:sz w:val="32"/>
          <w:szCs w:val="32"/>
          <w:lang w:val="en"/>
        </w:rPr>
        <w:t>年基本支出为</w:t>
      </w:r>
      <w:r>
        <w:rPr>
          <w:rFonts w:ascii="Times New Roman" w:hAnsi="Times New Roman" w:eastAsia="仿宋_GB2312" w:cs="Times New Roman"/>
          <w:color w:val="000000"/>
          <w:sz w:val="32"/>
          <w:szCs w:val="32"/>
          <w:lang w:val="en"/>
        </w:rPr>
        <w:t>1</w:t>
      </w:r>
      <w:r>
        <w:rPr>
          <w:rFonts w:hint="eastAsia" w:ascii="Times New Roman" w:hAnsi="Times New Roman" w:eastAsia="仿宋_GB2312" w:cs="Times New Roman"/>
          <w:color w:val="000000"/>
          <w:sz w:val="32"/>
          <w:szCs w:val="32"/>
        </w:rPr>
        <w:t>50623</w:t>
      </w:r>
      <w:r>
        <w:rPr>
          <w:rFonts w:ascii="Times New Roman" w:hAnsi="Times New Roman" w:eastAsia="仿宋_GB2312" w:cs="Times New Roman"/>
          <w:color w:val="000000"/>
          <w:sz w:val="32"/>
          <w:szCs w:val="32"/>
          <w:lang w:val="en"/>
        </w:rPr>
        <w:t>.</w:t>
      </w:r>
      <w:r>
        <w:rPr>
          <w:rFonts w:hint="eastAsia" w:ascii="Times New Roman" w:hAnsi="Times New Roman" w:eastAsia="仿宋_GB2312" w:cs="Times New Roman"/>
          <w:color w:val="000000"/>
          <w:sz w:val="32"/>
          <w:szCs w:val="32"/>
        </w:rPr>
        <w:t>37</w:t>
      </w:r>
      <w:r>
        <w:rPr>
          <w:rFonts w:hint="eastAsia" w:ascii="Times New Roman" w:hAnsi="Times New Roman" w:eastAsia="仿宋_GB2312" w:cs="Times New Roman"/>
          <w:color w:val="000000"/>
          <w:sz w:val="32"/>
          <w:szCs w:val="32"/>
          <w:lang w:val="en"/>
        </w:rPr>
        <w:t>万元，其中人员经费</w:t>
      </w:r>
      <w:r>
        <w:rPr>
          <w:rFonts w:hint="eastAsia" w:ascii="Times New Roman" w:hAnsi="Times New Roman" w:eastAsia="仿宋_GB2312" w:cs="Times New Roman"/>
          <w:color w:val="000000"/>
          <w:sz w:val="32"/>
          <w:szCs w:val="32"/>
        </w:rPr>
        <w:t>141636.11万元，占94%；公用经费8987.26万元，占6%。</w:t>
      </w:r>
      <w:r>
        <w:rPr>
          <w:rFonts w:hint="eastAsia" w:ascii="Times New Roman" w:hAnsi="Times New Roman" w:eastAsia="仿宋_GB2312" w:cs="Times New Roman"/>
          <w:color w:val="000000"/>
          <w:sz w:val="32"/>
          <w:szCs w:val="32"/>
          <w:lang w:val="en"/>
        </w:rPr>
        <w:t>202</w:t>
      </w:r>
      <w:r>
        <w:rPr>
          <w:rFonts w:ascii="Times New Roman" w:hAnsi="Times New Roman" w:eastAsia="仿宋_GB2312" w:cs="Times New Roman"/>
          <w:color w:val="000000"/>
          <w:sz w:val="32"/>
          <w:szCs w:val="32"/>
          <w:lang w:val="en"/>
        </w:rPr>
        <w:t>1</w:t>
      </w:r>
      <w:r>
        <w:rPr>
          <w:rFonts w:hint="eastAsia" w:ascii="Times New Roman" w:hAnsi="Times New Roman" w:eastAsia="仿宋_GB2312" w:cs="Times New Roman"/>
          <w:color w:val="000000"/>
          <w:sz w:val="32"/>
          <w:szCs w:val="32"/>
          <w:lang w:val="en"/>
        </w:rPr>
        <w:t>年基本支出较上年减少</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lang w:val="en"/>
        </w:rPr>
        <w:t>1945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
        </w:rPr>
        <w:t>36</w:t>
      </w:r>
      <w:r>
        <w:rPr>
          <w:rFonts w:hint="eastAsia" w:ascii="Times New Roman" w:hAnsi="Times New Roman" w:eastAsia="仿宋_GB2312" w:cs="Times New Roman"/>
          <w:color w:val="000000"/>
          <w:sz w:val="32"/>
          <w:szCs w:val="32"/>
        </w:rPr>
        <w:t>万元，减少了</w:t>
      </w:r>
      <w:r>
        <w:rPr>
          <w:rFonts w:ascii="Times New Roman" w:hAnsi="Times New Roman" w:eastAsia="仿宋_GB2312" w:cs="Times New Roman"/>
          <w:color w:val="000000"/>
          <w:sz w:val="32"/>
          <w:szCs w:val="32"/>
          <w:lang w:val="en"/>
        </w:rPr>
        <w:t>25.6</w:t>
      </w:r>
      <w:r>
        <w:rPr>
          <w:rFonts w:hint="eastAsia" w:ascii="Times New Roman" w:hAnsi="Times New Roman" w:eastAsia="仿宋_GB2312" w:cs="Times New Roman"/>
          <w:color w:val="000000"/>
          <w:sz w:val="32"/>
          <w:szCs w:val="32"/>
        </w:rPr>
        <w:t>%，主要原因是本年未安排</w:t>
      </w:r>
      <w:r>
        <w:rPr>
          <w:rFonts w:hint="eastAsia" w:ascii="Times New Roman" w:hAnsi="Times New Roman" w:eastAsia="仿宋_GB2312" w:cs="Times New Roman"/>
          <w:color w:val="000000"/>
          <w:sz w:val="32"/>
          <w:szCs w:val="32"/>
          <w:lang w:val="en"/>
        </w:rPr>
        <w:t>综治奖支出、减人减支以及压缩一般性支出等</w:t>
      </w:r>
      <w:r>
        <w:rPr>
          <w:rFonts w:hint="eastAsia" w:ascii="Times New Roman" w:hAnsi="Times New Roman" w:eastAsia="仿宋_GB2312" w:cs="Times New Roman"/>
          <w:color w:val="000000"/>
          <w:sz w:val="32"/>
          <w:szCs w:val="32"/>
        </w:rPr>
        <w:t>。</w:t>
      </w:r>
    </w:p>
    <w:p>
      <w:pPr>
        <w:pStyle w:val="14"/>
        <w:widowControl/>
        <w:numPr>
          <w:ilvl w:val="0"/>
          <w:numId w:val="2"/>
        </w:numPr>
        <w:spacing w:line="600"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项目支出情况</w:t>
      </w:r>
    </w:p>
    <w:p>
      <w:pPr>
        <w:widowControl/>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我院不属于省级专项资金的设立主体，无省级专项资金支出。我院项目支出主要为省财政厅追加的地质找矿项目和民生项目、基础设施改造、能力提升等地勘单位补助经费。</w:t>
      </w:r>
      <w:r>
        <w:rPr>
          <w:rFonts w:hint="eastAsia" w:ascii="Times New Roman" w:hAnsi="Times New Roman" w:eastAsia="仿宋_GB2312" w:cs="Times New Roman"/>
          <w:color w:val="000000"/>
          <w:sz w:val="32"/>
          <w:szCs w:val="32"/>
          <w:lang w:val="en"/>
        </w:rPr>
        <w:t>202</w:t>
      </w:r>
      <w:r>
        <w:rPr>
          <w:rFonts w:ascii="Times New Roman" w:hAnsi="Times New Roman" w:eastAsia="仿宋_GB2312" w:cs="Times New Roman"/>
          <w:color w:val="000000"/>
          <w:sz w:val="32"/>
          <w:szCs w:val="32"/>
          <w:lang w:val="en"/>
        </w:rPr>
        <w:t>1</w:t>
      </w:r>
      <w:r>
        <w:rPr>
          <w:rFonts w:hint="eastAsia" w:ascii="Times New Roman" w:hAnsi="Times New Roman" w:eastAsia="仿宋_GB2312" w:cs="Times New Roman"/>
          <w:color w:val="000000"/>
          <w:sz w:val="32"/>
          <w:szCs w:val="32"/>
          <w:lang w:val="en"/>
        </w:rPr>
        <w:t>年项目支出为</w:t>
      </w:r>
      <w:r>
        <w:rPr>
          <w:rFonts w:hint="eastAsia" w:ascii="Times New Roman" w:hAnsi="Times New Roman" w:eastAsia="仿宋_GB2312" w:cs="Times New Roman"/>
          <w:color w:val="000000"/>
          <w:sz w:val="32"/>
          <w:szCs w:val="32"/>
        </w:rPr>
        <w:t>26176.90万元，比上年减少1565.31万元，减少5.6%。项目支出具体包括：一般公共服务支出116.60万元，科学技术支出314.49万元，节能环保支出292.36万元，资源勘探工业信息等支出3148.15万元，商业服务业等支出115万元，自然资源海洋气象等支出8771.21万元，灾害防治及应急管理支出13419.09万元。</w:t>
      </w:r>
    </w:p>
    <w:p>
      <w:pPr>
        <w:pStyle w:val="14"/>
        <w:widowControl/>
        <w:spacing w:line="600" w:lineRule="exact"/>
        <w:ind w:firstLine="64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政府性基金预算支出情况</w:t>
      </w:r>
    </w:p>
    <w:p>
      <w:pPr>
        <w:widowControl/>
        <w:spacing w:line="600" w:lineRule="exact"/>
        <w:ind w:firstLine="645"/>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2021年我院无政府性基金预算支出。</w:t>
      </w:r>
    </w:p>
    <w:p>
      <w:pPr>
        <w:pStyle w:val="14"/>
        <w:widowControl/>
        <w:numPr>
          <w:ilvl w:val="0"/>
          <w:numId w:val="3"/>
        </w:numPr>
        <w:spacing w:line="60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pPr>
        <w:widowControl/>
        <w:spacing w:line="600" w:lineRule="exact"/>
        <w:ind w:firstLine="645"/>
        <w:jc w:val="left"/>
        <w:rPr>
          <w:rFonts w:ascii="Times New Roman" w:hAnsi="Times New Roman" w:eastAsia="黑体" w:cs="Times New Roman"/>
          <w:sz w:val="32"/>
          <w:szCs w:val="32"/>
        </w:rPr>
      </w:pPr>
      <w:r>
        <w:rPr>
          <w:rFonts w:hint="eastAsia" w:ascii="Times New Roman" w:hAnsi="Times New Roman" w:eastAsia="仿宋_GB2312" w:cs="Times New Roman"/>
          <w:color w:val="000000"/>
          <w:sz w:val="32"/>
          <w:szCs w:val="32"/>
        </w:rPr>
        <w:t>2021年我院无国有资本经营预算支出。</w:t>
      </w:r>
    </w:p>
    <w:p>
      <w:pPr>
        <w:pStyle w:val="14"/>
        <w:widowControl/>
        <w:numPr>
          <w:ilvl w:val="0"/>
          <w:numId w:val="3"/>
        </w:numPr>
        <w:spacing w:line="60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pPr>
        <w:widowControl/>
        <w:spacing w:line="600" w:lineRule="exact"/>
        <w:ind w:firstLine="645"/>
        <w:jc w:val="left"/>
        <w:rPr>
          <w:rFonts w:ascii="Times New Roman" w:hAnsi="Times New Roman" w:eastAsia="黑体" w:cs="Times New Roman"/>
          <w:sz w:val="32"/>
          <w:szCs w:val="32"/>
        </w:rPr>
      </w:pPr>
      <w:r>
        <w:rPr>
          <w:rFonts w:hint="eastAsia" w:ascii="Times New Roman" w:hAnsi="Times New Roman" w:eastAsia="仿宋_GB2312" w:cs="Times New Roman"/>
          <w:color w:val="000000"/>
          <w:sz w:val="32"/>
          <w:szCs w:val="32"/>
        </w:rPr>
        <w:t>2021年我院无社会保险基金预算支出。</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spacing w:line="56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2021年是湖南地质队伍布局整体重塑的一年，</w:t>
      </w:r>
      <w:r>
        <w:rPr>
          <w:rFonts w:hint="eastAsia" w:ascii="Nimbus Roman No9 L" w:hAnsi="Nimbus Roman No9 L" w:eastAsia="仿宋_GB2312" w:cs="Nimbus Roman No9 L"/>
          <w:sz w:val="32"/>
          <w:szCs w:val="32"/>
        </w:rPr>
        <w:t>我院</w:t>
      </w:r>
      <w:r>
        <w:rPr>
          <w:rFonts w:ascii="Nimbus Roman No9 L" w:hAnsi="Nimbus Roman No9 L" w:eastAsia="仿宋_GB2312" w:cs="Nimbus Roman No9 L"/>
          <w:sz w:val="32"/>
          <w:szCs w:val="32"/>
        </w:rPr>
        <w:t>立足当前、</w:t>
      </w:r>
      <w:r>
        <w:rPr>
          <w:rFonts w:hint="eastAsia" w:ascii="Nimbus Roman No9 L" w:hAnsi="Nimbus Roman No9 L" w:eastAsia="仿宋_GB2312" w:cs="Nimbus Roman No9 L"/>
          <w:sz w:val="32"/>
          <w:szCs w:val="32"/>
        </w:rPr>
        <w:t>着眼</w:t>
      </w:r>
      <w:r>
        <w:rPr>
          <w:rFonts w:ascii="Nimbus Roman No9 L" w:hAnsi="Nimbus Roman No9 L" w:eastAsia="仿宋_GB2312" w:cs="Nimbus Roman No9 L"/>
          <w:sz w:val="32"/>
          <w:szCs w:val="32"/>
        </w:rPr>
        <w:t>长远、团结奋进，圆满完成</w:t>
      </w:r>
      <w:r>
        <w:rPr>
          <w:rFonts w:hint="eastAsia" w:ascii="Nimbus Roman No9 L" w:hAnsi="Nimbus Roman No9 L" w:eastAsia="仿宋_GB2312" w:cs="Nimbus Roman No9 L"/>
          <w:sz w:val="32"/>
          <w:szCs w:val="32"/>
        </w:rPr>
        <w:t>了</w:t>
      </w:r>
      <w:r>
        <w:rPr>
          <w:rFonts w:ascii="Nimbus Roman No9 L" w:hAnsi="Nimbus Roman No9 L" w:eastAsia="仿宋_GB2312" w:cs="Nimbus Roman No9 L"/>
          <w:sz w:val="32"/>
          <w:szCs w:val="32"/>
        </w:rPr>
        <w:t>经济稳中有进、改革稳妥实施、能力稳步提高、民生有力保障的总目标，</w:t>
      </w:r>
      <w:r>
        <w:rPr>
          <w:rFonts w:hint="eastAsia" w:ascii="Nimbus Roman No9 L" w:hAnsi="Nimbus Roman No9 L" w:eastAsia="仿宋_GB2312" w:cs="Nimbus Roman No9 L"/>
          <w:sz w:val="32"/>
          <w:szCs w:val="32"/>
        </w:rPr>
        <w:t>基本</w:t>
      </w:r>
      <w:r>
        <w:rPr>
          <w:rFonts w:ascii="Nimbus Roman No9 L" w:hAnsi="Nimbus Roman No9 L" w:eastAsia="仿宋_GB2312" w:cs="Nimbus Roman No9 L"/>
          <w:sz w:val="32"/>
          <w:szCs w:val="32"/>
        </w:rPr>
        <w:t>实现</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稳起步、好开局</w:t>
      </w:r>
      <w:r>
        <w:rPr>
          <w:rFonts w:hint="eastAsia" w:ascii="Nimbus Roman No9 L" w:hAnsi="Nimbus Roman No9 L" w:eastAsia="仿宋_GB2312" w:cs="Nimbus Roman No9 L"/>
          <w:sz w:val="32"/>
          <w:szCs w:val="32"/>
        </w:rPr>
        <w:t>总任务</w:t>
      </w:r>
      <w:r>
        <w:rPr>
          <w:rFonts w:ascii="Nimbus Roman No9 L" w:hAnsi="Nimbus Roman No9 L" w:eastAsia="仿宋_GB2312" w:cs="Nimbus Roman No9 L"/>
          <w:sz w:val="32"/>
          <w:szCs w:val="32"/>
        </w:rPr>
        <w:t>，为全面开启现代新型一流和谐地质强院建设新征程打下了基础。</w:t>
      </w:r>
    </w:p>
    <w:p>
      <w:pPr>
        <w:spacing w:line="560" w:lineRule="exact"/>
        <w:ind w:firstLine="640" w:firstLineChars="200"/>
        <w:rPr>
          <w:rFonts w:hint="eastAsia" w:ascii="Nimbus Roman No9 L" w:hAnsi="Nimbus Roman No9 L" w:eastAsia="仿宋_GB2312" w:cs="Nimbus Roman No9 L"/>
          <w:bCs/>
          <w:sz w:val="32"/>
          <w:szCs w:val="32"/>
        </w:rPr>
      </w:pPr>
      <w:r>
        <w:rPr>
          <w:rFonts w:hint="eastAsia" w:ascii="Times New Roman" w:hAnsi="Times New Roman" w:eastAsia="楷体_GB2312" w:cs="Nimbus Roman No9 L"/>
          <w:b/>
          <w:bCs/>
          <w:sz w:val="32"/>
          <w:szCs w:val="32"/>
        </w:rPr>
        <w:t>（一）</w:t>
      </w:r>
      <w:r>
        <w:rPr>
          <w:rFonts w:ascii="Times New Roman" w:hAnsi="Times New Roman" w:eastAsia="楷体_GB2312" w:cs="Nimbus Roman No9 L"/>
          <w:b/>
          <w:bCs/>
          <w:sz w:val="32"/>
          <w:szCs w:val="32"/>
        </w:rPr>
        <w:t>地勘经济稳中有进、进中提质</w:t>
      </w:r>
    </w:p>
    <w:p>
      <w:pPr>
        <w:spacing w:line="56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b/>
          <w:sz w:val="32"/>
          <w:szCs w:val="32"/>
        </w:rPr>
        <w:t>一是</w:t>
      </w:r>
      <w:r>
        <w:rPr>
          <w:rFonts w:ascii="Nimbus Roman No9 L" w:hAnsi="Nimbus Roman No9 L" w:eastAsia="仿宋_GB2312" w:cs="Nimbus Roman No9 L"/>
          <w:b/>
          <w:sz w:val="32"/>
          <w:szCs w:val="32"/>
        </w:rPr>
        <w:t>发展势头不减，</w:t>
      </w:r>
      <w:r>
        <w:rPr>
          <w:rFonts w:ascii="Nimbus Roman No9 L" w:hAnsi="Nimbus Roman No9 L" w:eastAsia="仿宋_GB2312" w:cs="Nimbus Roman No9 L"/>
          <w:bCs/>
          <w:sz w:val="32"/>
          <w:szCs w:val="32"/>
        </w:rPr>
        <w:t>在同时面对改革推进和队伍稳定繁重任务情况下，全院始终将抓发展作为第一要务，主动谋划、加大申报、积极承揽、大力实施各类项目，</w:t>
      </w:r>
      <w:r>
        <w:rPr>
          <w:rFonts w:hint="eastAsia" w:ascii="Nimbus Roman No9 L" w:hAnsi="Nimbus Roman No9 L" w:eastAsia="仿宋_GB2312" w:cs="Nimbus Roman No9 L"/>
          <w:bCs/>
          <w:sz w:val="32"/>
          <w:szCs w:val="32"/>
        </w:rPr>
        <w:t>绝</w:t>
      </w:r>
      <w:r>
        <w:rPr>
          <w:rFonts w:ascii="Nimbus Roman No9 L" w:hAnsi="Nimbus Roman No9 L" w:eastAsia="仿宋_GB2312" w:cs="Nimbus Roman No9 L"/>
          <w:bCs/>
          <w:sz w:val="32"/>
          <w:szCs w:val="32"/>
        </w:rPr>
        <w:t>大多数院属单位保持经济稳定发展。</w:t>
      </w:r>
      <w:r>
        <w:rPr>
          <w:rFonts w:hint="eastAsia" w:ascii="Nimbus Roman No9 L" w:hAnsi="Nimbus Roman No9 L" w:eastAsia="仿宋_GB2312" w:cs="Nimbus Roman No9 L"/>
          <w:b/>
          <w:bCs/>
          <w:sz w:val="32"/>
          <w:szCs w:val="32"/>
        </w:rPr>
        <w:t>二是</w:t>
      </w:r>
      <w:r>
        <w:rPr>
          <w:rFonts w:ascii="Nimbus Roman No9 L" w:hAnsi="Nimbus Roman No9 L" w:eastAsia="仿宋_GB2312" w:cs="Nimbus Roman No9 L"/>
          <w:b/>
          <w:bCs/>
          <w:sz w:val="32"/>
          <w:szCs w:val="32"/>
        </w:rPr>
        <w:t>经济总量趋稳，</w:t>
      </w:r>
      <w:r>
        <w:rPr>
          <w:rFonts w:ascii="Nimbus Roman No9 L" w:hAnsi="Nimbus Roman No9 L" w:eastAsia="仿宋_GB2312" w:cs="Nimbus Roman No9 L"/>
          <w:sz w:val="32"/>
          <w:szCs w:val="32"/>
        </w:rPr>
        <w:t>主要收入指标逆势上扬，超额完成年初计划。</w:t>
      </w:r>
      <w:r>
        <w:rPr>
          <w:rFonts w:hint="eastAsia" w:ascii="Nimbus Roman No9 L" w:hAnsi="Nimbus Roman No9 L" w:eastAsia="仿宋_GB2312" w:cs="Nimbus Roman No9 L"/>
          <w:b/>
          <w:bCs/>
          <w:sz w:val="32"/>
          <w:szCs w:val="32"/>
        </w:rPr>
        <w:t>三是</w:t>
      </w:r>
      <w:r>
        <w:rPr>
          <w:rFonts w:ascii="Nimbus Roman No9 L" w:hAnsi="Nimbus Roman No9 L" w:eastAsia="仿宋_GB2312" w:cs="Nimbus Roman No9 L"/>
          <w:b/>
          <w:bCs/>
          <w:sz w:val="32"/>
          <w:szCs w:val="32"/>
        </w:rPr>
        <w:t>经济结构趋优，</w:t>
      </w:r>
      <w:r>
        <w:rPr>
          <w:rFonts w:ascii="Nimbus Roman No9 L" w:hAnsi="Nimbus Roman No9 L" w:eastAsia="仿宋_GB2312" w:cs="Nimbus Roman No9 L"/>
          <w:sz w:val="32"/>
          <w:szCs w:val="32"/>
        </w:rPr>
        <w:t>大地质</w:t>
      </w:r>
      <w:r>
        <w:rPr>
          <w:rFonts w:hint="eastAsia" w:ascii="Nimbus Roman No9 L" w:hAnsi="Nimbus Roman No9 L" w:eastAsia="仿宋_GB2312" w:cs="Nimbus Roman No9 L"/>
          <w:sz w:val="32"/>
          <w:szCs w:val="32"/>
        </w:rPr>
        <w:t>主业</w:t>
      </w:r>
      <w:r>
        <w:rPr>
          <w:rFonts w:ascii="Nimbus Roman No9 L" w:hAnsi="Nimbus Roman No9 L" w:eastAsia="仿宋_GB2312" w:cs="Nimbus Roman No9 L"/>
          <w:sz w:val="32"/>
          <w:szCs w:val="32"/>
        </w:rPr>
        <w:t>产业经营收入在总经营收入中占比</w:t>
      </w:r>
      <w:r>
        <w:rPr>
          <w:rFonts w:hint="eastAsia" w:ascii="Nimbus Roman No9 L" w:hAnsi="Nimbus Roman No9 L" w:eastAsia="仿宋_GB2312" w:cs="Nimbus Roman No9 L"/>
          <w:sz w:val="32"/>
          <w:szCs w:val="32"/>
        </w:rPr>
        <w:t>较快</w:t>
      </w:r>
      <w:r>
        <w:rPr>
          <w:rFonts w:ascii="Nimbus Roman No9 L" w:hAnsi="Nimbus Roman No9 L" w:eastAsia="仿宋_GB2312" w:cs="Nimbus Roman No9 L"/>
          <w:sz w:val="32"/>
          <w:szCs w:val="32"/>
        </w:rPr>
        <w:t>提升，地质勘查业</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生态环境业</w:t>
      </w:r>
      <w:r>
        <w:rPr>
          <w:rFonts w:hint="eastAsia" w:ascii="Nimbus Roman No9 L" w:hAnsi="Nimbus Roman No9 L" w:eastAsia="仿宋_GB2312" w:cs="Nimbus Roman No9 L"/>
          <w:sz w:val="32"/>
          <w:szCs w:val="32"/>
        </w:rPr>
        <w:t>、测绘与空间规划均完成年度经营收入计划。</w:t>
      </w:r>
    </w:p>
    <w:p>
      <w:pPr>
        <w:snapToGrid w:val="0"/>
        <w:spacing w:line="560" w:lineRule="exact"/>
        <w:ind w:firstLine="640" w:firstLineChars="200"/>
        <w:rPr>
          <w:rFonts w:ascii="Times New Roman" w:hAnsi="Times New Roman" w:eastAsia="楷体_GB2312" w:cs="Nimbus Roman No9 L"/>
          <w:b/>
          <w:bCs/>
          <w:sz w:val="32"/>
          <w:szCs w:val="32"/>
        </w:rPr>
      </w:pPr>
      <w:r>
        <w:rPr>
          <w:rFonts w:hint="eastAsia" w:ascii="Times New Roman" w:hAnsi="Times New Roman" w:eastAsia="楷体_GB2312" w:cs="Nimbus Roman No9 L"/>
          <w:b/>
          <w:bCs/>
          <w:sz w:val="32"/>
          <w:szCs w:val="32"/>
        </w:rPr>
        <w:t>（二）</w:t>
      </w:r>
      <w:r>
        <w:rPr>
          <w:rFonts w:ascii="Times New Roman" w:hAnsi="Times New Roman" w:eastAsia="楷体_GB2312" w:cs="Nimbus Roman No9 L"/>
          <w:b/>
          <w:bCs/>
          <w:sz w:val="32"/>
          <w:szCs w:val="32"/>
        </w:rPr>
        <w:t>地质事业转型发展、快速突破</w:t>
      </w:r>
    </w:p>
    <w:p>
      <w:pPr>
        <w:spacing w:line="56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b/>
          <w:sz w:val="32"/>
          <w:szCs w:val="32"/>
        </w:rPr>
        <w:t>一是</w:t>
      </w:r>
      <w:r>
        <w:rPr>
          <w:rFonts w:ascii="Nimbus Roman No9 L" w:hAnsi="Nimbus Roman No9 L" w:eastAsia="仿宋_GB2312" w:cs="Nimbus Roman No9 L"/>
          <w:b/>
          <w:sz w:val="32"/>
          <w:szCs w:val="32"/>
        </w:rPr>
        <w:t>提供资源保障有突破。</w:t>
      </w:r>
      <w:r>
        <w:rPr>
          <w:rFonts w:ascii="Nimbus Roman No9 L" w:hAnsi="Nimbus Roman No9 L" w:eastAsia="仿宋_GB2312" w:cs="Nimbus Roman No9 L"/>
          <w:sz w:val="32"/>
          <w:szCs w:val="32"/>
        </w:rPr>
        <w:t>提交大型矿产地5处、中型9处，</w:t>
      </w:r>
      <w:r>
        <w:rPr>
          <w:rFonts w:hint="eastAsia" w:ascii="Nimbus Roman No9 L" w:hAnsi="Nimbus Roman No9 L" w:eastAsia="仿宋_GB2312" w:cs="Nimbus Roman No9 L"/>
          <w:sz w:val="32"/>
          <w:szCs w:val="32"/>
        </w:rPr>
        <w:t>为我省自然资源开发利用提供了巨大</w:t>
      </w:r>
      <w:r>
        <w:rPr>
          <w:rFonts w:ascii="Nimbus Roman No9 L" w:hAnsi="Nimbus Roman No9 L" w:eastAsia="仿宋_GB2312" w:cs="Nimbus Roman No9 L"/>
          <w:sz w:val="32"/>
          <w:szCs w:val="32"/>
        </w:rPr>
        <w:t>潜在经济价值</w:t>
      </w:r>
      <w:r>
        <w:rPr>
          <w:rFonts w:hint="eastAsia" w:ascii="Nimbus Roman No9 L" w:hAnsi="Nimbus Roman No9 L" w:eastAsia="仿宋_GB2312" w:cs="Nimbus Roman No9 L"/>
          <w:sz w:val="32"/>
          <w:szCs w:val="32"/>
        </w:rPr>
        <w:t>。</w:t>
      </w:r>
      <w:r>
        <w:rPr>
          <w:rFonts w:hint="eastAsia" w:ascii="Nimbus Roman No9 L" w:hAnsi="Nimbus Roman No9 L" w:eastAsia="仿宋_GB2312" w:cs="Nimbus Roman No9 L"/>
          <w:b/>
          <w:bCs/>
          <w:sz w:val="32"/>
          <w:szCs w:val="32"/>
        </w:rPr>
        <w:t>二是</w:t>
      </w:r>
      <w:r>
        <w:rPr>
          <w:rFonts w:ascii="Nimbus Roman No9 L" w:hAnsi="Nimbus Roman No9 L" w:eastAsia="仿宋_GB2312" w:cs="Nimbus Roman No9 L"/>
          <w:b/>
          <w:bCs/>
          <w:sz w:val="32"/>
          <w:szCs w:val="32"/>
        </w:rPr>
        <w:t>支撑自然资源管理有作为。</w:t>
      </w:r>
      <w:r>
        <w:rPr>
          <w:rFonts w:ascii="Nimbus Roman No9 L" w:hAnsi="Nimbus Roman No9 L" w:eastAsia="仿宋_GB2312" w:cs="Nimbus Roman No9 L"/>
          <w:sz w:val="32"/>
          <w:szCs w:val="32"/>
        </w:rPr>
        <w:t>全面完成全省108个县市区3820个对象的矿产资源国情调查工作。全面完成常德、益阳、</w:t>
      </w:r>
      <w:r>
        <w:rPr>
          <w:rFonts w:hint="eastAsia" w:ascii="Nimbus Roman No9 L" w:hAnsi="Nimbus Roman No9 L" w:eastAsia="仿宋_GB2312" w:cs="Nimbus Roman No9 L"/>
          <w:sz w:val="32"/>
          <w:szCs w:val="32"/>
        </w:rPr>
        <w:t>郴州及沅江</w:t>
      </w:r>
      <w:r>
        <w:rPr>
          <w:rFonts w:ascii="Nimbus Roman No9 L" w:hAnsi="Nimbus Roman No9 L" w:eastAsia="仿宋_GB2312" w:cs="Nimbus Roman No9 L"/>
          <w:sz w:val="32"/>
          <w:szCs w:val="32"/>
        </w:rPr>
        <w:t>4个城市地质环境综合调查评价项目</w:t>
      </w:r>
      <w:r>
        <w:rPr>
          <w:rFonts w:hint="eastAsia" w:ascii="Nimbus Roman No9 L" w:hAnsi="Nimbus Roman No9 L" w:eastAsia="仿宋_GB2312" w:cs="Nimbus Roman No9 L"/>
          <w:sz w:val="32"/>
          <w:szCs w:val="32"/>
          <w:lang w:val="en"/>
        </w:rPr>
        <w:t>，</w:t>
      </w:r>
      <w:r>
        <w:rPr>
          <w:rFonts w:ascii="Nimbus Roman No9 L" w:hAnsi="Nimbus Roman No9 L" w:eastAsia="仿宋_GB2312" w:cs="Nimbus Roman No9 L"/>
          <w:sz w:val="32"/>
          <w:szCs w:val="32"/>
        </w:rPr>
        <w:t>承担2020年度全省矿业权信息公示核查工作。</w:t>
      </w:r>
      <w:r>
        <w:rPr>
          <w:rFonts w:hint="eastAsia" w:ascii="Nimbus Roman No9 L" w:hAnsi="Nimbus Roman No9 L" w:eastAsia="仿宋_GB2312" w:cs="Nimbus Roman No9 L"/>
          <w:b/>
          <w:bCs/>
          <w:sz w:val="32"/>
          <w:szCs w:val="32"/>
        </w:rPr>
        <w:t>三是</w:t>
      </w:r>
      <w:r>
        <w:rPr>
          <w:rFonts w:ascii="Nimbus Roman No9 L" w:hAnsi="Nimbus Roman No9 L" w:eastAsia="仿宋_GB2312" w:cs="Nimbus Roman No9 L"/>
          <w:b/>
          <w:bCs/>
          <w:sz w:val="32"/>
          <w:szCs w:val="32"/>
        </w:rPr>
        <w:t>服务生态文明建设有成效。</w:t>
      </w:r>
      <w:r>
        <w:rPr>
          <w:rFonts w:ascii="Nimbus Roman No9 L" w:hAnsi="Nimbus Roman No9 L" w:eastAsia="仿宋_GB2312" w:cs="Nimbus Roman No9 L"/>
          <w:sz w:val="32"/>
          <w:szCs w:val="32"/>
        </w:rPr>
        <w:t>基本完成五大矿区生态修复与长江经济带废弃矿山生态修复项目施工与验收。完成全省历史遗留矿山核查</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一上一下</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工作</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发布</w:t>
      </w:r>
      <w:r>
        <w:rPr>
          <w:rFonts w:hint="eastAsia" w:ascii="Nimbus Roman No9 L" w:hAnsi="Nimbus Roman No9 L" w:eastAsia="仿宋_GB2312" w:cs="Nimbus Roman No9 L"/>
          <w:sz w:val="32"/>
          <w:szCs w:val="32"/>
        </w:rPr>
        <w:t>了</w:t>
      </w:r>
      <w:r>
        <w:rPr>
          <w:rFonts w:ascii="Nimbus Roman No9 L" w:hAnsi="Nimbus Roman No9 L" w:eastAsia="仿宋_GB2312" w:cs="Nimbus Roman No9 L"/>
          <w:sz w:val="32"/>
          <w:szCs w:val="32"/>
        </w:rPr>
        <w:t>《矿山边坡生态恢复技术标准》。</w:t>
      </w:r>
      <w:r>
        <w:rPr>
          <w:rFonts w:hint="eastAsia" w:ascii="Nimbus Roman No9 L" w:hAnsi="Nimbus Roman No9 L" w:eastAsia="仿宋_GB2312" w:cs="Nimbus Roman No9 L"/>
          <w:b/>
          <w:bCs/>
          <w:sz w:val="32"/>
          <w:szCs w:val="32"/>
        </w:rPr>
        <w:t>四是</w:t>
      </w:r>
      <w:r>
        <w:rPr>
          <w:rFonts w:ascii="Nimbus Roman No9 L" w:hAnsi="Nimbus Roman No9 L" w:eastAsia="仿宋_GB2312" w:cs="Nimbus Roman No9 L"/>
          <w:b/>
          <w:bCs/>
          <w:sz w:val="32"/>
          <w:szCs w:val="32"/>
        </w:rPr>
        <w:t>助力地质灾害防治有新功。</w:t>
      </w:r>
      <w:r>
        <w:rPr>
          <w:rFonts w:ascii="Nimbus Roman No9 L" w:hAnsi="Nimbus Roman No9 L" w:eastAsia="仿宋_GB2312" w:cs="Nimbus Roman No9 L"/>
          <w:sz w:val="32"/>
          <w:szCs w:val="32"/>
        </w:rPr>
        <w:t>31家院属单位参与全省汛期地质灾害</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三查</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与应急处置，协助地方政府转移群众4万余人。承担</w:t>
      </w:r>
      <w:r>
        <w:rPr>
          <w:rFonts w:hint="eastAsia" w:ascii="Nimbus Roman No9 L" w:hAnsi="Nimbus Roman No9 L" w:eastAsia="仿宋_GB2312" w:cs="Nimbus Roman No9 L"/>
          <w:sz w:val="32"/>
          <w:szCs w:val="32"/>
        </w:rPr>
        <w:t>近六百个</w:t>
      </w:r>
      <w:r>
        <w:rPr>
          <w:rFonts w:ascii="Nimbus Roman No9 L" w:hAnsi="Nimbus Roman No9 L" w:eastAsia="仿宋_GB2312" w:cs="Nimbus Roman No9 L"/>
          <w:sz w:val="32"/>
          <w:szCs w:val="32"/>
        </w:rPr>
        <w:t>高精度地质灾害调查与风险评价示范项目</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地质灾害隐患点普适化监测项目</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地质灾害风险普查项目</w:t>
      </w:r>
      <w:r>
        <w:rPr>
          <w:rFonts w:hint="eastAsia" w:ascii="Nimbus Roman No9 L" w:hAnsi="Nimbus Roman No9 L" w:eastAsia="仿宋_GB2312" w:cs="Nimbus Roman No9 L"/>
          <w:sz w:val="32"/>
          <w:szCs w:val="32"/>
        </w:rPr>
        <w:t>及</w:t>
      </w:r>
      <w:r>
        <w:rPr>
          <w:rFonts w:ascii="Nimbus Roman No9 L" w:hAnsi="Nimbus Roman No9 L" w:eastAsia="仿宋_GB2312" w:cs="Nimbus Roman No9 L"/>
          <w:sz w:val="32"/>
          <w:szCs w:val="32"/>
        </w:rPr>
        <w:t>各类治理项目</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配合省自然资源厅组织29家院属单位开展地灾防治知识</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进山区</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活动。</w:t>
      </w:r>
    </w:p>
    <w:p>
      <w:pPr>
        <w:numPr>
          <w:ilvl w:val="0"/>
          <w:numId w:val="2"/>
        </w:numPr>
        <w:spacing w:line="560" w:lineRule="exact"/>
        <w:ind w:firstLine="640" w:firstLineChars="200"/>
        <w:rPr>
          <w:rFonts w:ascii="Times New Roman" w:hAnsi="Times New Roman" w:eastAsia="楷体_GB2312" w:cs="Nimbus Roman No9 L"/>
          <w:b/>
          <w:bCs/>
          <w:sz w:val="32"/>
          <w:szCs w:val="32"/>
        </w:rPr>
      </w:pPr>
      <w:r>
        <w:rPr>
          <w:rFonts w:ascii="Times New Roman" w:hAnsi="Times New Roman" w:eastAsia="楷体_GB2312" w:cs="Nimbus Roman No9 L"/>
          <w:b/>
          <w:bCs/>
          <w:sz w:val="32"/>
          <w:szCs w:val="32"/>
        </w:rPr>
        <w:t>地质改革整体推进、成果丰硕</w:t>
      </w:r>
    </w:p>
    <w:p>
      <w:pPr>
        <w:spacing w:line="56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b/>
          <w:bCs/>
          <w:sz w:val="32"/>
          <w:szCs w:val="32"/>
        </w:rPr>
        <w:t>一是</w:t>
      </w:r>
      <w:r>
        <w:rPr>
          <w:rFonts w:ascii="Nimbus Roman No9 L" w:hAnsi="Nimbus Roman No9 L" w:eastAsia="仿宋_GB2312" w:cs="Nimbus Roman No9 L"/>
          <w:b/>
          <w:bCs/>
          <w:sz w:val="32"/>
          <w:szCs w:val="32"/>
        </w:rPr>
        <w:t>院机关</w:t>
      </w:r>
      <w:r>
        <w:rPr>
          <w:rFonts w:hint="eastAsia" w:ascii="Nimbus Roman No9 L" w:hAnsi="Nimbus Roman No9 L" w:eastAsia="仿宋_GB2312" w:cs="Nimbus Roman No9 L"/>
          <w:b/>
          <w:bCs/>
          <w:sz w:val="32"/>
          <w:szCs w:val="32"/>
        </w:rPr>
        <w:t>“</w:t>
      </w:r>
      <w:r>
        <w:rPr>
          <w:rFonts w:ascii="Nimbus Roman No9 L" w:hAnsi="Nimbus Roman No9 L" w:eastAsia="仿宋_GB2312" w:cs="Nimbus Roman No9 L"/>
          <w:b/>
          <w:bCs/>
          <w:sz w:val="32"/>
          <w:szCs w:val="32"/>
        </w:rPr>
        <w:t>三定</w:t>
      </w:r>
      <w:r>
        <w:rPr>
          <w:rFonts w:hint="eastAsia" w:ascii="Nimbus Roman No9 L" w:hAnsi="Nimbus Roman No9 L" w:eastAsia="仿宋_GB2312" w:cs="Nimbus Roman No9 L"/>
          <w:b/>
          <w:bCs/>
          <w:sz w:val="32"/>
          <w:szCs w:val="32"/>
        </w:rPr>
        <w:t>”</w:t>
      </w:r>
      <w:r>
        <w:rPr>
          <w:rFonts w:ascii="Nimbus Roman No9 L" w:hAnsi="Nimbus Roman No9 L" w:eastAsia="仿宋_GB2312" w:cs="Nimbus Roman No9 L"/>
          <w:b/>
          <w:bCs/>
          <w:sz w:val="32"/>
          <w:szCs w:val="32"/>
        </w:rPr>
        <w:t>全面落地。</w:t>
      </w:r>
      <w:r>
        <w:rPr>
          <w:rFonts w:ascii="Nimbus Roman No9 L" w:hAnsi="Nimbus Roman No9 L" w:eastAsia="仿宋_GB2312" w:cs="Nimbus Roman No9 L"/>
          <w:sz w:val="32"/>
          <w:szCs w:val="32"/>
        </w:rPr>
        <w:t>机关工作人员全部重新调整到岗，基本实现强职能、转功能、提效能的院机关改革目标任务。</w:t>
      </w:r>
      <w:r>
        <w:rPr>
          <w:rFonts w:hint="eastAsia" w:ascii="Nimbus Roman No9 L" w:hAnsi="Nimbus Roman No9 L" w:eastAsia="仿宋_GB2312" w:cs="Nimbus Roman No9 L"/>
          <w:b/>
          <w:bCs/>
          <w:sz w:val="32"/>
          <w:szCs w:val="32"/>
        </w:rPr>
        <w:t>二是</w:t>
      </w:r>
      <w:r>
        <w:rPr>
          <w:rFonts w:ascii="Nimbus Roman No9 L" w:hAnsi="Nimbus Roman No9 L" w:eastAsia="仿宋_GB2312" w:cs="Nimbus Roman No9 L"/>
          <w:b/>
          <w:bCs/>
          <w:sz w:val="32"/>
          <w:szCs w:val="32"/>
        </w:rPr>
        <w:t>事业队伍组建基本到位。</w:t>
      </w:r>
      <w:r>
        <w:rPr>
          <w:rFonts w:ascii="Nimbus Roman No9 L" w:hAnsi="Nimbus Roman No9 L" w:eastAsia="仿宋_GB2312" w:cs="Nimbus Roman No9 L"/>
          <w:sz w:val="32"/>
          <w:szCs w:val="32"/>
        </w:rPr>
        <w:t>按期完成15家新组建院属省直地质事业单位法人登记、注册到长沙、领导班子配备、全员岗位设置等工作并进入实质性运作。</w:t>
      </w:r>
      <w:r>
        <w:rPr>
          <w:rFonts w:hint="eastAsia" w:ascii="Nimbus Roman No9 L" w:hAnsi="Nimbus Roman No9 L" w:eastAsia="仿宋_GB2312" w:cs="Nimbus Roman No9 L"/>
          <w:b/>
          <w:bCs/>
          <w:sz w:val="32"/>
          <w:szCs w:val="32"/>
        </w:rPr>
        <w:t>三是</w:t>
      </w:r>
      <w:r>
        <w:rPr>
          <w:rFonts w:ascii="Nimbus Roman No9 L" w:hAnsi="Nimbus Roman No9 L" w:eastAsia="仿宋_GB2312" w:cs="Nimbus Roman No9 L"/>
          <w:b/>
          <w:bCs/>
          <w:sz w:val="32"/>
          <w:szCs w:val="32"/>
        </w:rPr>
        <w:t>事企分开改革有序推进。</w:t>
      </w:r>
      <w:r>
        <w:rPr>
          <w:rFonts w:ascii="Nimbus Roman No9 L" w:hAnsi="Nimbus Roman No9 L" w:eastAsia="仿宋_GB2312" w:cs="Nimbus Roman No9 L"/>
          <w:sz w:val="32"/>
          <w:szCs w:val="32"/>
        </w:rPr>
        <w:t>完成原48家院属事业单位清算注销，核定过渡期内院属事业单位举办企业保留为16家。</w:t>
      </w:r>
      <w:r>
        <w:rPr>
          <w:rFonts w:hint="eastAsia" w:ascii="Nimbus Roman No9 L" w:hAnsi="Nimbus Roman No9 L" w:eastAsia="仿宋_GB2312" w:cs="Nimbus Roman No9 L"/>
          <w:b/>
          <w:bCs/>
          <w:sz w:val="32"/>
          <w:szCs w:val="32"/>
        </w:rPr>
        <w:t>四是</w:t>
      </w:r>
      <w:r>
        <w:rPr>
          <w:rFonts w:ascii="Nimbus Roman No9 L" w:hAnsi="Nimbus Roman No9 L" w:eastAsia="仿宋_GB2312" w:cs="Nimbus Roman No9 L"/>
          <w:b/>
          <w:bCs/>
          <w:sz w:val="32"/>
          <w:szCs w:val="32"/>
        </w:rPr>
        <w:t>工作机制逐步理顺。</w:t>
      </w:r>
      <w:r>
        <w:rPr>
          <w:rFonts w:hint="eastAsia" w:ascii="Nimbus Roman No9 L" w:hAnsi="Nimbus Roman No9 L" w:eastAsia="仿宋_GB2312" w:cs="Nimbus Roman No9 L"/>
          <w:sz w:val="32"/>
          <w:szCs w:val="32"/>
        </w:rPr>
        <w:t>通过</w:t>
      </w:r>
      <w:r>
        <w:rPr>
          <w:rFonts w:ascii="Nimbus Roman No9 L" w:hAnsi="Nimbus Roman No9 L" w:eastAsia="仿宋_GB2312" w:cs="Nimbus Roman No9 L"/>
          <w:sz w:val="32"/>
          <w:szCs w:val="32"/>
        </w:rPr>
        <w:t>汇报对接争取，明确形成省自然资源厅对地质院的业务指导清单以及省直相关部门保障措施</w:t>
      </w:r>
      <w:r>
        <w:rPr>
          <w:rFonts w:ascii="Nimbus Roman No9 L" w:hAnsi="Nimbus Roman No9 L" w:eastAsia="仿宋_GB2312" w:cs="Nimbus Roman No9 L"/>
          <w:bCs/>
          <w:sz w:val="32"/>
          <w:szCs w:val="32"/>
        </w:rPr>
        <w:t>。</w:t>
      </w:r>
      <w:r>
        <w:rPr>
          <w:rFonts w:hint="eastAsia" w:ascii="Nimbus Roman No9 L" w:hAnsi="Nimbus Roman No9 L" w:eastAsia="仿宋_GB2312" w:cs="Nimbus Roman No9 L"/>
          <w:sz w:val="32"/>
          <w:szCs w:val="32"/>
        </w:rPr>
        <w:t>同时，</w:t>
      </w:r>
      <w:r>
        <w:rPr>
          <w:rFonts w:ascii="Nimbus Roman No9 L" w:hAnsi="Nimbus Roman No9 L" w:eastAsia="仿宋_GB2312" w:cs="Nimbus Roman No9 L"/>
          <w:sz w:val="32"/>
          <w:szCs w:val="32"/>
        </w:rPr>
        <w:t>结合巡视整改要求和改革发展需要，</w:t>
      </w:r>
      <w:r>
        <w:rPr>
          <w:rFonts w:ascii="Nimbus Roman No9 L" w:hAnsi="Nimbus Roman No9 L" w:eastAsia="仿宋_GB2312" w:cs="Nimbus Roman No9 L"/>
          <w:sz w:val="32"/>
          <w:szCs w:val="32"/>
          <w:lang w:val="en"/>
        </w:rPr>
        <w:t>修改</w:t>
      </w:r>
      <w:r>
        <w:rPr>
          <w:rFonts w:ascii="Nimbus Roman No9 L" w:hAnsi="Nimbus Roman No9 L" w:eastAsia="仿宋_GB2312" w:cs="Nimbus Roman No9 L"/>
          <w:sz w:val="32"/>
          <w:szCs w:val="32"/>
        </w:rPr>
        <w:t>完善并出台关于经费管理、干部人事、教育培训、绩效考核等制度办法，</w:t>
      </w:r>
      <w:r>
        <w:rPr>
          <w:rFonts w:hint="eastAsia" w:ascii="Nimbus Roman No9 L" w:hAnsi="Nimbus Roman No9 L" w:eastAsia="仿宋_GB2312" w:cs="Nimbus Roman No9 L"/>
          <w:sz w:val="32"/>
          <w:szCs w:val="32"/>
          <w:lang w:val="en"/>
        </w:rPr>
        <w:t>内部管理不断规范</w:t>
      </w:r>
      <w:r>
        <w:rPr>
          <w:rFonts w:ascii="Nimbus Roman No9 L" w:hAnsi="Nimbus Roman No9 L" w:eastAsia="仿宋_GB2312" w:cs="Nimbus Roman No9 L"/>
          <w:sz w:val="32"/>
          <w:szCs w:val="32"/>
        </w:rPr>
        <w:t>。</w:t>
      </w:r>
    </w:p>
    <w:p>
      <w:pPr>
        <w:numPr>
          <w:ilvl w:val="0"/>
          <w:numId w:val="2"/>
        </w:numPr>
        <w:spacing w:line="560" w:lineRule="exact"/>
        <w:ind w:firstLine="640" w:firstLineChars="200"/>
        <w:rPr>
          <w:rFonts w:ascii="Times New Roman" w:hAnsi="Times New Roman" w:eastAsia="楷体_GB2312" w:cs="Nimbus Roman No9 L"/>
          <w:b/>
          <w:bCs/>
          <w:sz w:val="32"/>
          <w:szCs w:val="32"/>
        </w:rPr>
      </w:pPr>
      <w:r>
        <w:rPr>
          <w:rFonts w:ascii="Times New Roman" w:hAnsi="Times New Roman" w:eastAsia="楷体_GB2312" w:cs="Nimbus Roman No9 L"/>
          <w:b/>
          <w:bCs/>
          <w:sz w:val="32"/>
          <w:szCs w:val="32"/>
        </w:rPr>
        <w:t>治理体系院</w:t>
      </w:r>
      <w:r>
        <w:rPr>
          <w:rFonts w:hint="eastAsia" w:ascii="Times New Roman" w:hAnsi="Times New Roman" w:eastAsia="楷体_GB2312" w:cs="Nimbus Roman No9 L"/>
          <w:b/>
          <w:bCs/>
          <w:sz w:val="32"/>
          <w:szCs w:val="32"/>
        </w:rPr>
        <w:t>队</w:t>
      </w:r>
      <w:r>
        <w:rPr>
          <w:rFonts w:ascii="Times New Roman" w:hAnsi="Times New Roman" w:eastAsia="楷体_GB2312" w:cs="Nimbus Roman No9 L"/>
          <w:b/>
          <w:bCs/>
          <w:sz w:val="32"/>
          <w:szCs w:val="32"/>
        </w:rPr>
        <w:t>共建、联动优化</w:t>
      </w:r>
    </w:p>
    <w:p>
      <w:pPr>
        <w:spacing w:line="56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b/>
          <w:bCs/>
          <w:sz w:val="32"/>
          <w:szCs w:val="32"/>
        </w:rPr>
        <w:t>一是</w:t>
      </w:r>
      <w:r>
        <w:rPr>
          <w:rFonts w:ascii="Nimbus Roman No9 L" w:hAnsi="Nimbus Roman No9 L" w:eastAsia="仿宋_GB2312" w:cs="Nimbus Roman No9 L"/>
          <w:b/>
          <w:bCs/>
          <w:sz w:val="32"/>
          <w:szCs w:val="32"/>
        </w:rPr>
        <w:t>巡视整改任务高效完成。</w:t>
      </w:r>
      <w:r>
        <w:rPr>
          <w:rFonts w:ascii="Nimbus Roman No9 L" w:hAnsi="Nimbus Roman No9 L" w:eastAsia="仿宋_GB2312" w:cs="Nimbus Roman No9 L"/>
          <w:sz w:val="32"/>
          <w:szCs w:val="32"/>
        </w:rPr>
        <w:t>严格按照</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一个具体问题、一名责任领导、一个责任部门、一套整改措施</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的工作机制，压实压紧各单位各部门责任，</w:t>
      </w:r>
      <w:r>
        <w:rPr>
          <w:rFonts w:ascii="Nimbus Roman No9 L" w:hAnsi="Nimbus Roman No9 L" w:eastAsia="仿宋_GB2312" w:cs="Nimbus Roman No9 L"/>
          <w:sz w:val="32"/>
          <w:szCs w:val="32"/>
          <w:lang w:val="en"/>
        </w:rPr>
        <w:t>如期完成</w:t>
      </w:r>
      <w:r>
        <w:rPr>
          <w:rFonts w:ascii="Nimbus Roman No9 L" w:hAnsi="Nimbus Roman No9 L" w:eastAsia="仿宋_GB2312" w:cs="Nimbus Roman No9 L"/>
          <w:sz w:val="32"/>
          <w:szCs w:val="32"/>
        </w:rPr>
        <w:t>巡视反馈的4个方面14类问题整改，整改完成率100%。</w:t>
      </w:r>
      <w:r>
        <w:rPr>
          <w:rFonts w:hint="eastAsia" w:ascii="Nimbus Roman No9 L" w:hAnsi="Nimbus Roman No9 L" w:eastAsia="仿宋_GB2312" w:cs="Nimbus Roman No9 L"/>
          <w:b/>
          <w:bCs/>
          <w:sz w:val="32"/>
          <w:szCs w:val="32"/>
        </w:rPr>
        <w:t>二是</w:t>
      </w:r>
      <w:r>
        <w:rPr>
          <w:rFonts w:ascii="Nimbus Roman No9 L" w:hAnsi="Nimbus Roman No9 L" w:eastAsia="仿宋_GB2312" w:cs="Nimbus Roman No9 L"/>
          <w:b/>
          <w:bCs/>
          <w:sz w:val="32"/>
          <w:szCs w:val="32"/>
        </w:rPr>
        <w:t>开放合作更有成色。</w:t>
      </w:r>
      <w:r>
        <w:rPr>
          <w:rFonts w:ascii="Nimbus Roman No9 L" w:hAnsi="Nimbus Roman No9 L" w:eastAsia="仿宋_GB2312" w:cs="Nimbus Roman No9 L"/>
          <w:sz w:val="32"/>
          <w:szCs w:val="32"/>
        </w:rPr>
        <w:t>与中国地质科学院</w:t>
      </w:r>
      <w:r>
        <w:rPr>
          <w:rFonts w:hint="eastAsia" w:ascii="Nimbus Roman No9 L" w:hAnsi="Nimbus Roman No9 L" w:eastAsia="仿宋_GB2312" w:cs="Nimbus Roman No9 L"/>
          <w:sz w:val="32"/>
          <w:szCs w:val="32"/>
        </w:rPr>
        <w:t>协同</w:t>
      </w:r>
      <w:r>
        <w:rPr>
          <w:rFonts w:ascii="Nimbus Roman No9 L" w:hAnsi="Nimbus Roman No9 L" w:eastAsia="仿宋_GB2312" w:cs="Nimbus Roman No9 L"/>
          <w:sz w:val="32"/>
          <w:szCs w:val="32"/>
        </w:rPr>
        <w:t>攻关的科研项目取得阶段成果。</w:t>
      </w:r>
      <w:r>
        <w:rPr>
          <w:rFonts w:hint="eastAsia" w:ascii="Nimbus Roman No9 L" w:hAnsi="Nimbus Roman No9 L" w:eastAsia="仿宋_GB2312" w:cs="Nimbus Roman No9 L"/>
          <w:sz w:val="32"/>
          <w:szCs w:val="32"/>
        </w:rPr>
        <w:t>参与湘鄂赣</w:t>
      </w:r>
      <w:r>
        <w:rPr>
          <w:rFonts w:ascii="Nimbus Roman No9 L" w:hAnsi="Nimbus Roman No9 L" w:eastAsia="仿宋_GB2312" w:cs="Nimbus Roman No9 L"/>
          <w:sz w:val="32"/>
          <w:szCs w:val="32"/>
        </w:rPr>
        <w:t>三省五</w:t>
      </w:r>
      <w:r>
        <w:rPr>
          <w:rFonts w:hint="eastAsia" w:ascii="Nimbus Roman No9 L" w:hAnsi="Nimbus Roman No9 L" w:eastAsia="仿宋_GB2312" w:cs="Nimbus Roman No9 L"/>
          <w:sz w:val="32"/>
          <w:szCs w:val="32"/>
        </w:rPr>
        <w:t>单位</w:t>
      </w:r>
      <w:r>
        <w:rPr>
          <w:rFonts w:ascii="Nimbus Roman No9 L" w:hAnsi="Nimbus Roman No9 L" w:eastAsia="仿宋_GB2312" w:cs="Nimbus Roman No9 L"/>
          <w:sz w:val="32"/>
          <w:szCs w:val="32"/>
        </w:rPr>
        <w:t>构建地质工作支撑长江中游城市群高质量发展联合行动机制，部署开展</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通平修</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绿色发展先行区综合地质调查专项，得到部省领导充分肯定。</w:t>
      </w:r>
      <w:r>
        <w:rPr>
          <w:rFonts w:hint="eastAsia" w:ascii="Nimbus Roman No9 L" w:hAnsi="Nimbus Roman No9 L" w:eastAsia="仿宋_GB2312" w:cs="Nimbus Roman No9 L"/>
          <w:b/>
          <w:bCs/>
          <w:sz w:val="32"/>
          <w:szCs w:val="32"/>
        </w:rPr>
        <w:t>三是</w:t>
      </w:r>
      <w:r>
        <w:rPr>
          <w:rFonts w:ascii="Nimbus Roman No9 L" w:hAnsi="Nimbus Roman No9 L" w:eastAsia="仿宋_GB2312" w:cs="Nimbus Roman No9 L"/>
          <w:b/>
          <w:bCs/>
          <w:sz w:val="32"/>
          <w:szCs w:val="32"/>
        </w:rPr>
        <w:t>文明创建深化拓展。</w:t>
      </w:r>
      <w:r>
        <w:rPr>
          <w:rFonts w:ascii="Nimbus Roman No9 L" w:hAnsi="Nimbus Roman No9 L" w:eastAsia="仿宋_GB2312" w:cs="Nimbus Roman No9 L"/>
          <w:sz w:val="32"/>
          <w:szCs w:val="32"/>
        </w:rPr>
        <w:t>广泛开展庆祝建党百年系列主题活动，与省自然资源厅联合主办</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百年奋进、壮阔自然—献礼建党100周年</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特展，在省地质博物馆专厅展示湖南地质</w:t>
      </w:r>
      <w:r>
        <w:rPr>
          <w:rFonts w:hint="eastAsia" w:ascii="Nimbus Roman No9 L" w:hAnsi="Nimbus Roman No9 L" w:eastAsia="仿宋_GB2312" w:cs="Nimbus Roman No9 L"/>
          <w:sz w:val="32"/>
          <w:szCs w:val="32"/>
        </w:rPr>
        <w:t>工作</w:t>
      </w:r>
      <w:r>
        <w:rPr>
          <w:rFonts w:ascii="Nimbus Roman No9 L" w:hAnsi="Nimbus Roman No9 L" w:eastAsia="仿宋_GB2312" w:cs="Nimbus Roman No9 L"/>
          <w:sz w:val="32"/>
          <w:szCs w:val="32"/>
        </w:rPr>
        <w:t>成果，大力传承弘扬</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三光荣</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四特别</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地质精神。</w:t>
      </w:r>
    </w:p>
    <w:p>
      <w:pPr>
        <w:numPr>
          <w:ilvl w:val="0"/>
          <w:numId w:val="2"/>
        </w:numPr>
        <w:spacing w:line="560" w:lineRule="exact"/>
        <w:ind w:firstLine="640" w:firstLineChars="200"/>
        <w:rPr>
          <w:rFonts w:ascii="Times New Roman" w:hAnsi="Times New Roman" w:eastAsia="楷体_GB2312" w:cs="Nimbus Roman No9 L"/>
          <w:b/>
          <w:bCs/>
          <w:sz w:val="32"/>
          <w:szCs w:val="32"/>
        </w:rPr>
      </w:pPr>
      <w:r>
        <w:rPr>
          <w:rFonts w:ascii="Times New Roman" w:hAnsi="Times New Roman" w:eastAsia="楷体_GB2312" w:cs="Nimbus Roman No9 L"/>
          <w:b/>
          <w:bCs/>
          <w:sz w:val="32"/>
          <w:szCs w:val="32"/>
        </w:rPr>
        <w:t>和谐稳定合力维护、更为巩固</w:t>
      </w:r>
    </w:p>
    <w:p>
      <w:pPr>
        <w:spacing w:line="56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b/>
          <w:bCs/>
          <w:sz w:val="32"/>
          <w:szCs w:val="32"/>
        </w:rPr>
        <w:t>一是</w:t>
      </w:r>
      <w:r>
        <w:rPr>
          <w:rFonts w:ascii="Nimbus Roman No9 L" w:hAnsi="Nimbus Roman No9 L" w:eastAsia="仿宋_GB2312" w:cs="Nimbus Roman No9 L"/>
          <w:b/>
          <w:bCs/>
          <w:sz w:val="32"/>
          <w:szCs w:val="32"/>
        </w:rPr>
        <w:t>疫情防控常态长效。</w:t>
      </w:r>
      <w:r>
        <w:rPr>
          <w:rFonts w:ascii="Nimbus Roman No9 L" w:hAnsi="Nimbus Roman No9 L" w:eastAsia="仿宋_GB2312" w:cs="Nimbus Roman No9 L"/>
          <w:sz w:val="32"/>
          <w:szCs w:val="32"/>
        </w:rPr>
        <w:t>密切关注疫情形势变化，以办公楼、小区等</w:t>
      </w:r>
      <w:r>
        <w:rPr>
          <w:rFonts w:hint="eastAsia" w:ascii="Nimbus Roman No9 L" w:hAnsi="Nimbus Roman No9 L" w:eastAsia="仿宋_GB2312" w:cs="Nimbus Roman No9 L"/>
          <w:sz w:val="32"/>
          <w:szCs w:val="32"/>
        </w:rPr>
        <w:t>领域</w:t>
      </w:r>
      <w:r>
        <w:rPr>
          <w:rFonts w:ascii="Nimbus Roman No9 L" w:hAnsi="Nimbus Roman No9 L" w:eastAsia="仿宋_GB2312" w:cs="Nimbus Roman No9 L"/>
          <w:sz w:val="32"/>
          <w:szCs w:val="32"/>
        </w:rPr>
        <w:t>管控为重点，加强</w:t>
      </w:r>
      <w:r>
        <w:rPr>
          <w:rFonts w:hint="eastAsia" w:ascii="Nimbus Roman No9 L" w:hAnsi="Nimbus Roman No9 L" w:eastAsia="仿宋_GB2312" w:cs="Nimbus Roman No9 L"/>
          <w:sz w:val="32"/>
          <w:szCs w:val="32"/>
        </w:rPr>
        <w:t>人员</w:t>
      </w:r>
      <w:r>
        <w:rPr>
          <w:rFonts w:ascii="Nimbus Roman No9 L" w:hAnsi="Nimbus Roman No9 L" w:eastAsia="仿宋_GB2312" w:cs="Nimbus Roman No9 L"/>
          <w:sz w:val="32"/>
          <w:szCs w:val="32"/>
        </w:rPr>
        <w:t>排查和网格化管理，持续巩固</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零确诊、零疑似</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成果。</w:t>
      </w:r>
      <w:r>
        <w:rPr>
          <w:rFonts w:hint="eastAsia" w:ascii="Nimbus Roman No9 L" w:hAnsi="Nimbus Roman No9 L" w:eastAsia="仿宋_GB2312" w:cs="Nimbus Roman No9 L"/>
          <w:b/>
          <w:bCs/>
          <w:sz w:val="32"/>
          <w:szCs w:val="32"/>
        </w:rPr>
        <w:t>二是</w:t>
      </w:r>
      <w:r>
        <w:rPr>
          <w:rFonts w:ascii="Nimbus Roman No9 L" w:hAnsi="Nimbus Roman No9 L" w:eastAsia="仿宋_GB2312" w:cs="Nimbus Roman No9 L"/>
          <w:b/>
          <w:bCs/>
          <w:sz w:val="32"/>
          <w:szCs w:val="32"/>
        </w:rPr>
        <w:t>安全形势平稳向好。</w:t>
      </w:r>
      <w:r>
        <w:rPr>
          <w:rFonts w:ascii="Nimbus Roman No9 L" w:hAnsi="Nimbus Roman No9 L" w:eastAsia="仿宋_GB2312" w:cs="Nimbus Roman No9 L"/>
          <w:sz w:val="32"/>
          <w:szCs w:val="32"/>
          <w:lang w:val="en"/>
        </w:rPr>
        <w:t>严格</w:t>
      </w:r>
      <w:r>
        <w:rPr>
          <w:rFonts w:ascii="Nimbus Roman No9 L" w:hAnsi="Nimbus Roman No9 L" w:eastAsia="仿宋_GB2312" w:cs="Nimbus Roman No9 L"/>
          <w:sz w:val="32"/>
          <w:szCs w:val="32"/>
        </w:rPr>
        <w:t>落实安全生产</w:t>
      </w:r>
      <w:r>
        <w:rPr>
          <w:rFonts w:hint="eastAsia" w:ascii="Nimbus Roman No9 L" w:hAnsi="Nimbus Roman No9 L" w:eastAsia="仿宋_GB2312" w:cs="Nimbus Roman No9 L"/>
          <w:sz w:val="32"/>
          <w:szCs w:val="32"/>
        </w:rPr>
        <w:t>责任体系</w:t>
      </w:r>
      <w:r>
        <w:rPr>
          <w:rFonts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rPr>
        <w:t>积极</w:t>
      </w:r>
      <w:r>
        <w:rPr>
          <w:rFonts w:ascii="Nimbus Roman No9 L" w:hAnsi="Nimbus Roman No9 L" w:eastAsia="仿宋_GB2312" w:cs="Nimbus Roman No9 L"/>
          <w:sz w:val="32"/>
          <w:szCs w:val="32"/>
        </w:rPr>
        <w:t>推进安全生产专项整治三年行动</w:t>
      </w:r>
      <w:r>
        <w:rPr>
          <w:rFonts w:hint="eastAsia" w:ascii="Nimbus Roman No9 L" w:hAnsi="Nimbus Roman No9 L" w:eastAsia="仿宋_GB2312" w:cs="Nimbus Roman No9 L"/>
          <w:sz w:val="32"/>
          <w:szCs w:val="32"/>
        </w:rPr>
        <w:t>集中攻坚</w:t>
      </w:r>
      <w:r>
        <w:rPr>
          <w:rFonts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rPr>
        <w:t>构建安全风险分级管控和隐患排查治理双重预防机制</w:t>
      </w:r>
      <w:r>
        <w:rPr>
          <w:rFonts w:ascii="Nimbus Roman No9 L" w:hAnsi="Nimbus Roman No9 L" w:eastAsia="仿宋_GB2312" w:cs="Nimbus Roman No9 L"/>
          <w:sz w:val="32"/>
          <w:szCs w:val="32"/>
        </w:rPr>
        <w:t>，细化放射源集中贮存日常管理，</w:t>
      </w:r>
      <w:r>
        <w:rPr>
          <w:rFonts w:ascii="Nimbus Roman No9 L" w:hAnsi="Nimbus Roman No9 L" w:eastAsia="仿宋_GB2312" w:cs="Nimbus Roman No9 L"/>
          <w:sz w:val="32"/>
          <w:szCs w:val="32"/>
          <w:lang w:val="en"/>
        </w:rPr>
        <w:t>院系统全年未发生安全责任事故</w:t>
      </w:r>
      <w:r>
        <w:rPr>
          <w:rFonts w:ascii="Nimbus Roman No9 L" w:hAnsi="Nimbus Roman No9 L" w:eastAsia="仿宋_GB2312" w:cs="Nimbus Roman No9 L"/>
          <w:sz w:val="32"/>
          <w:szCs w:val="32"/>
        </w:rPr>
        <w:t>。</w:t>
      </w:r>
      <w:r>
        <w:rPr>
          <w:rFonts w:hint="eastAsia" w:ascii="Nimbus Roman No9 L" w:hAnsi="Nimbus Roman No9 L" w:eastAsia="仿宋_GB2312" w:cs="Nimbus Roman No9 L"/>
          <w:b/>
          <w:bCs/>
          <w:sz w:val="32"/>
          <w:szCs w:val="32"/>
        </w:rPr>
        <w:t>三是</w:t>
      </w:r>
      <w:r>
        <w:rPr>
          <w:rFonts w:ascii="Nimbus Roman No9 L" w:hAnsi="Nimbus Roman No9 L" w:eastAsia="仿宋_GB2312" w:cs="Nimbus Roman No9 L"/>
          <w:b/>
          <w:bCs/>
          <w:sz w:val="32"/>
          <w:szCs w:val="32"/>
        </w:rPr>
        <w:t>困难群体得到帮扶。</w:t>
      </w:r>
      <w:r>
        <w:rPr>
          <w:rFonts w:ascii="Nimbus Roman No9 L" w:hAnsi="Nimbus Roman No9 L" w:eastAsia="仿宋_GB2312" w:cs="Nimbus Roman No9 L"/>
          <w:sz w:val="32"/>
          <w:szCs w:val="32"/>
        </w:rPr>
        <w:t>建立完善困难职工档案并实施动态管理，将</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无零就业家庭</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不增加</w:t>
      </w:r>
      <w:r>
        <w:rPr>
          <w:rFonts w:hint="eastAsia" w:ascii="Nimbus Roman No9 L" w:hAnsi="Nimbus Roman No9 L" w:eastAsia="仿宋_GB2312" w:cs="Nimbus Roman No9 L"/>
          <w:sz w:val="32"/>
          <w:szCs w:val="32"/>
        </w:rPr>
        <w:t>歇岗</w:t>
      </w:r>
      <w:r>
        <w:rPr>
          <w:rFonts w:ascii="Nimbus Roman No9 L" w:hAnsi="Nimbus Roman No9 L" w:eastAsia="仿宋_GB2312" w:cs="Nimbus Roman No9 L"/>
          <w:sz w:val="32"/>
          <w:szCs w:val="32"/>
        </w:rPr>
        <w:t>职工</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净增就业岗位</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指标纳入各单位绩效考核内容，统筹开展对老党员、劳动模范、特困家庭、意外致困职工的走访慰问和专项帮扶。</w:t>
      </w:r>
    </w:p>
    <w:p>
      <w:pPr>
        <w:pStyle w:val="14"/>
        <w:widowControl/>
        <w:spacing w:line="60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七、存在的问题</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院系统整体能力水平与落实“三定”职责和推动事业发展需要还不相适应，干部职工思想观念有待进一步转变；二是深度融入服务“三高四新”战略定位和使命任务的责任体系、工作体系、能力体系还不突出、不配套；三是</w:t>
      </w:r>
      <w:r>
        <w:rPr>
          <w:rFonts w:hint="eastAsia" w:ascii="Times New Roman" w:hAnsi="Times New Roman" w:eastAsia="仿宋_GB2312" w:cs="Times New Roman"/>
          <w:sz w:val="32"/>
          <w:szCs w:val="32"/>
        </w:rPr>
        <w:t>创收盈利能力差，资金缺口大；四是</w:t>
      </w:r>
      <w:r>
        <w:rPr>
          <w:rFonts w:ascii="Times New Roman" w:hAnsi="Times New Roman" w:eastAsia="仿宋_GB2312" w:cs="Times New Roman"/>
          <w:sz w:val="32"/>
          <w:szCs w:val="32"/>
        </w:rPr>
        <w:t>在进一步深化改革实施进程中，不确定性不稳定性因素增多，安全稳定任务依然繁重。</w:t>
      </w:r>
    </w:p>
    <w:p>
      <w:pPr>
        <w:widowControl/>
        <w:numPr>
          <w:ilvl w:val="0"/>
          <w:numId w:val="4"/>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做实职能职责，推动事业转型促发展。以服务“碳达峰、碳中和”远景目标为方向，紧密结合各级政府国土空间规划、土地管理、地质矿产等工作需求，前瞻性服务生态文明建设，为自然资源系统性管理提供技术支撑。</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突出发展、狠抓项目，增加市场拓展能力和经济发展水平。紧紧围绕资源能源保障、生态文明建设、自然资源管理、地质灾害防治四大需求，发挥企业主体重要作用，突出拓展地质主业，确保地质经济实现新的平稳增长。</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聚焦核心任务，深化机构改革优结构。妥善做好干部职工安置、资产依规处置、办公场地调整、基地规范管理等具体工作，实现事业单位重组运行。</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加强内部控制，规范管理体系提质效。完善制度体系，按照实事求是、承接有序、统筹协调的原则，深入推进制度办法“废改立”，防范化解重大风险；理顺完善工作机制，细化各级岗位工作内容和职责权限，强化“责任链条”。</w:t>
      </w: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五是</w:t>
      </w:r>
      <w:r>
        <w:rPr>
          <w:rFonts w:hint="eastAsia" w:ascii="Times New Roman" w:hAnsi="Times New Roman" w:eastAsia="仿宋_GB2312" w:cs="Times New Roman"/>
          <w:sz w:val="32"/>
          <w:szCs w:val="32"/>
        </w:rPr>
        <w:t>坚持以人为本，凝聚全员力量保稳定。压实安全生产责任，慎终如始做好常态化疫情防控，深化群防群治和联防联控，健全平安建设齐抓共管的工作新格局，办好惠民利民实事。</w:t>
      </w:r>
    </w:p>
    <w:p>
      <w:pPr>
        <w:widowControl/>
        <w:numPr>
          <w:ilvl w:val="0"/>
          <w:numId w:val="4"/>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部门整体支出绩效自评结果拟应用和公开情况</w:t>
      </w:r>
    </w:p>
    <w:p>
      <w:pPr>
        <w:pStyle w:val="2"/>
        <w:ind w:firstLine="640" w:firstLineChars="200"/>
        <w:rPr>
          <w:rFonts w:ascii="Times New Roman" w:hAnsi="Times New Roman" w:eastAsia="仿宋_GB2312" w:cs="Times New Roman"/>
          <w:kern w:val="2"/>
          <w:sz w:val="32"/>
          <w:szCs w:val="32"/>
        </w:rPr>
      </w:pPr>
      <w:r>
        <w:rPr>
          <w:rFonts w:hint="eastAsia" w:ascii="仿宋_GB2312" w:hAnsi="仿宋_GB2312" w:eastAsia="仿宋_GB2312" w:cs="仿宋_GB2312"/>
          <w:sz w:val="32"/>
          <w:szCs w:val="32"/>
        </w:rPr>
        <w:t>部门整体支出绩效自评结果将应用到我院下一年度的资金安排和预算调整中，真正体现奖优罚劣的绩效导向。</w:t>
      </w:r>
      <w:r>
        <w:rPr>
          <w:rFonts w:hint="eastAsia" w:ascii="Times New Roman" w:hAnsi="Times New Roman" w:eastAsia="仿宋_GB2312" w:cs="Times New Roman"/>
          <w:kern w:val="2"/>
          <w:sz w:val="32"/>
          <w:szCs w:val="32"/>
        </w:rPr>
        <w:t>根据部门预算编制的要求，我院2021年整体支出申报了预算绩效目标，并于2021年3月9日在湖南省地质院门户网站上公开了2021年部门预算及绩效目标表，接受社会监督。一年来，我院严格按照《预算法》及省财政厅要求执行部门预算，提高经济运行质量和效益，确保年度目标任务全面完成、地勘事业良性发展。</w:t>
      </w:r>
    </w:p>
    <w:p>
      <w:pPr>
        <w:numPr>
          <w:ilvl w:val="0"/>
          <w:numId w:val="4"/>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其他需要说明的情况</w:t>
      </w:r>
    </w:p>
    <w:p>
      <w:pPr>
        <w:pStyle w:val="2"/>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无。</w:t>
      </w:r>
    </w:p>
    <w:p>
      <w:pPr>
        <w:pStyle w:val="2"/>
        <w:rPr>
          <w:rFonts w:ascii="Times New Roman" w:hAnsi="Times New Roman" w:eastAsia="仿宋_GB2312" w:cs="Times New Roman"/>
          <w:kern w:val="2"/>
          <w:sz w:val="32"/>
          <w:szCs w:val="32"/>
        </w:rPr>
      </w:pPr>
    </w:p>
    <w:p>
      <w:pPr>
        <w:pStyle w:val="3"/>
        <w:rPr>
          <w:rFonts w:ascii="Times New Roman" w:hAnsi="Times New Roman" w:eastAsia="仿宋_GB2312" w:cs="Times New Roman"/>
          <w:sz w:val="32"/>
          <w:szCs w:val="32"/>
        </w:rPr>
      </w:pPr>
    </w:p>
    <w:p/>
    <w:p>
      <w:pPr>
        <w:pStyle w:val="3"/>
      </w:pPr>
    </w:p>
    <w:p>
      <w:pPr>
        <w:pStyle w:val="2"/>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附件：1、部门整体支出绩效评价基础数据表</w:t>
      </w:r>
    </w:p>
    <w:p>
      <w:pPr>
        <w:pStyle w:val="2"/>
        <w:ind w:firstLine="1600" w:firstLineChars="5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2、部门整体支出绩效自评表</w:t>
      </w:r>
    </w:p>
    <w:p>
      <w:pPr>
        <w:pStyle w:val="2"/>
      </w:pPr>
    </w:p>
    <w:p>
      <w:pPr>
        <w:pStyle w:val="3"/>
      </w:pPr>
    </w:p>
    <w:p/>
    <w:p>
      <w:pPr>
        <w:spacing w:after="156" w:afterLines="50" w:line="600" w:lineRule="exact"/>
        <w:rPr>
          <w:rFonts w:ascii="Times New Roman" w:hAnsi="Times New Roman" w:eastAsia="黑体" w:cs="Times New Roman"/>
          <w:sz w:val="32"/>
          <w:szCs w:val="32"/>
        </w:rPr>
      </w:pPr>
    </w:p>
    <w:p>
      <w:pPr>
        <w:spacing w:after="156" w:afterLines="50" w:line="600" w:lineRule="exact"/>
        <w:rPr>
          <w:rFonts w:ascii="Times New Roman" w:hAnsi="Times New Roman" w:eastAsia="黑体" w:cs="Times New Roman"/>
          <w:sz w:val="32"/>
          <w:szCs w:val="32"/>
        </w:rPr>
      </w:pPr>
    </w:p>
    <w:p>
      <w:pPr>
        <w:spacing w:after="156" w:afterLines="50"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after="156" w:afterLines="50" w:line="600" w:lineRule="exact"/>
        <w:jc w:val="center"/>
        <w:rPr>
          <w:rFonts w:ascii="Times New Roman" w:hAnsi="Times New Roman" w:eastAsia="仿宋_GB2312" w:cs="Times New Roman"/>
          <w:sz w:val="24"/>
        </w:rPr>
      </w:pPr>
      <w:r>
        <w:rPr>
          <w:rFonts w:ascii="Times New Roman" w:hAnsi="Times New Roman" w:eastAsia="方正小标宋_GBK" w:cs="Times New Roman"/>
          <w:sz w:val="36"/>
          <w:szCs w:val="36"/>
        </w:rPr>
        <w:t>2021年度部门整体支出绩效评价基础数据表</w:t>
      </w:r>
    </w:p>
    <w:tbl>
      <w:tblPr>
        <w:tblStyle w:val="10"/>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6998</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13460</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192%</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392.70</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427.64</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310.96</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314.84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260.16</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258.08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 xml:space="preserve">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314.84</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260.16</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258.08</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76</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77.86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91.48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52.88</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27742.21</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18295.80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26292.77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27555.80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1590.11</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7535.24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186.41</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8295.55</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8060.79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3</w:t>
            </w:r>
            <w:r>
              <w:rPr>
                <w:rFonts w:hint="eastAsia" w:ascii="Times New Roman" w:hAnsi="Times New Roman" w:eastAsia="仿宋_GB2312" w:cs="Times New Roman"/>
                <w:sz w:val="20"/>
                <w:szCs w:val="20"/>
                <w:lang w:val="en"/>
              </w:rPr>
              <w:t>、事业单位经营支出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718.44</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3037.64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4、其他事业类发展资金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7454.6</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7421.98</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5、自然资源保护和利用专项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9.6</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6</w:t>
            </w:r>
            <w:r>
              <w:rPr>
                <w:rFonts w:hint="eastAsia" w:ascii="Times New Roman" w:hAnsi="Times New Roman" w:eastAsia="仿宋_GB2312" w:cs="Times New Roman"/>
                <w:sz w:val="20"/>
                <w:szCs w:val="20"/>
                <w:lang w:val="en"/>
              </w:rPr>
              <w:t>、创新型省份建设专项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77.5</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77.5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7、处室待分配专项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150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150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9406.98</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7564.53</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8962.91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538.49</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407.8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426.77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lang w:val="en"/>
              </w:rPr>
            </w:pPr>
            <w:r>
              <w:rPr>
                <w:rFonts w:ascii="Times New Roman" w:hAnsi="Times New Roman" w:eastAsia="仿宋_GB2312" w:cs="Times New Roman"/>
                <w:sz w:val="20"/>
                <w:szCs w:val="20"/>
                <w:lang w:val="en"/>
              </w:rPr>
              <w:t>1521.61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1386.07</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1390.34</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394.96</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347.19</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327.76</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170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1289.15</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楼堂馆所控制情况</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（2021年完工项目）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批复规模</w:t>
            </w:r>
            <w:r>
              <w:rPr>
                <w:rFonts w:ascii="Times New Roman" w:hAnsi="Times New Roman" w:eastAsia="仿宋_GB2312" w:cs="Times New Roman"/>
                <w:bCs/>
                <w:sz w:val="20"/>
                <w:szCs w:val="20"/>
              </w:rPr>
              <w:br w:type="textWrapping"/>
            </w: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lang w:val="en"/>
              </w:rPr>
              <w:t>严控“三公经费”开支，只减不增</w:t>
            </w:r>
            <w:r>
              <w:rPr>
                <w:rFonts w:ascii="Times New Roman" w:hAnsi="Times New Roman" w:eastAsia="仿宋_GB2312" w:cs="Times New Roman"/>
                <w:sz w:val="20"/>
                <w:szCs w:val="20"/>
              </w:rPr>
              <w:t>　</w:t>
            </w:r>
          </w:p>
        </w:tc>
      </w:tr>
    </w:tbl>
    <w:p>
      <w:pPr>
        <w:widowControl/>
        <w:jc w:val="lef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156" w:afterLines="50"/>
        <w:jc w:val="left"/>
        <w:rPr>
          <w:rFonts w:ascii="Times New Roman" w:hAnsi="Times New Roman" w:eastAsia="黑体" w:cs="Times New Roman"/>
          <w:sz w:val="32"/>
          <w:szCs w:val="32"/>
        </w:rPr>
      </w:pPr>
      <w:r>
        <w:rPr>
          <w:rFonts w:ascii="Times New Roman" w:hAnsi="Times New Roman" w:eastAsia="仿宋_GB2312" w:cs="Times New Roman"/>
          <w:sz w:val="22"/>
        </w:rPr>
        <w:t>填表人：</w:t>
      </w:r>
      <w:r>
        <w:rPr>
          <w:rFonts w:ascii="Times New Roman" w:hAnsi="Times New Roman" w:eastAsia="仿宋_GB2312" w:cs="Times New Roman"/>
          <w:sz w:val="22"/>
          <w:lang w:val="en"/>
        </w:rPr>
        <w:t>何唯实</w:t>
      </w:r>
      <w:r>
        <w:rPr>
          <w:rFonts w:ascii="Times New Roman" w:hAnsi="Times New Roman" w:eastAsia="仿宋_GB2312" w:cs="Times New Roman"/>
          <w:sz w:val="22"/>
        </w:rPr>
        <w:t xml:space="preserve">  填报日期：</w:t>
      </w:r>
      <w:r>
        <w:rPr>
          <w:rFonts w:ascii="Times New Roman" w:hAnsi="Times New Roman" w:eastAsia="仿宋_GB2312" w:cs="Times New Roman"/>
          <w:sz w:val="22"/>
          <w:lang w:val="en"/>
        </w:rPr>
        <w:t>2022.0</w:t>
      </w:r>
      <w:r>
        <w:rPr>
          <w:rFonts w:hint="eastAsia" w:ascii="Times New Roman" w:hAnsi="Times New Roman" w:eastAsia="仿宋_GB2312" w:cs="Times New Roman"/>
          <w:sz w:val="22"/>
        </w:rPr>
        <w:t>5</w:t>
      </w:r>
      <w:r>
        <w:rPr>
          <w:rFonts w:ascii="Times New Roman" w:hAnsi="Times New Roman" w:eastAsia="仿宋_GB2312" w:cs="Times New Roman"/>
          <w:sz w:val="22"/>
          <w:lang w:val="en"/>
        </w:rPr>
        <w:t>.16</w:t>
      </w:r>
      <w:r>
        <w:rPr>
          <w:rFonts w:ascii="Times New Roman" w:hAnsi="Times New Roman" w:eastAsia="仿宋_GB2312" w:cs="Times New Roman"/>
          <w:sz w:val="22"/>
        </w:rPr>
        <w:t xml:space="preserve">  联系电话：</w:t>
      </w:r>
      <w:r>
        <w:rPr>
          <w:rFonts w:ascii="Times New Roman" w:hAnsi="Times New Roman" w:eastAsia="仿宋_GB2312" w:cs="Times New Roman"/>
          <w:sz w:val="22"/>
          <w:lang w:val="en"/>
        </w:rPr>
        <w:t>15674872668</w:t>
      </w:r>
      <w:r>
        <w:rPr>
          <w:rFonts w:ascii="Times New Roman" w:hAnsi="Times New Roman" w:eastAsia="仿宋_GB2312" w:cs="Times New Roman"/>
          <w:sz w:val="22"/>
        </w:rPr>
        <w:t xml:space="preserve">  单位负责人签字：</w:t>
      </w:r>
      <w:r>
        <w:rPr>
          <w:rFonts w:ascii="Times New Roman" w:hAnsi="Times New Roman" w:eastAsia="仿宋_GB2312" w:cs="Times New Roman"/>
          <w:sz w:val="22"/>
        </w:rPr>
        <w:br w:type="page"/>
      </w:r>
      <w:r>
        <w:rPr>
          <w:rFonts w:ascii="Times New Roman" w:hAnsi="Times New Roman" w:eastAsia="黑体" w:cs="Times New Roman"/>
          <w:sz w:val="32"/>
          <w:szCs w:val="32"/>
        </w:rPr>
        <w:t>附件2</w:t>
      </w:r>
    </w:p>
    <w:p>
      <w:pPr>
        <w:widowControl/>
        <w:spacing w:after="156" w:afterLines="5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2021年度部门整体支出绩效自评表</w:t>
      </w:r>
    </w:p>
    <w:tbl>
      <w:tblPr>
        <w:tblStyle w:val="10"/>
        <w:tblW w:w="10079" w:type="dxa"/>
        <w:jc w:val="center"/>
        <w:tblLayout w:type="autofit"/>
        <w:tblCellMar>
          <w:top w:w="0" w:type="dxa"/>
          <w:left w:w="108" w:type="dxa"/>
          <w:bottom w:w="0" w:type="dxa"/>
          <w:right w:w="108" w:type="dxa"/>
        </w:tblCellMar>
      </w:tblPr>
      <w:tblGrid>
        <w:gridCol w:w="1080"/>
        <w:gridCol w:w="1080"/>
        <w:gridCol w:w="953"/>
        <w:gridCol w:w="1256"/>
        <w:gridCol w:w="95"/>
        <w:gridCol w:w="1501"/>
        <w:gridCol w:w="1217"/>
        <w:gridCol w:w="725"/>
        <w:gridCol w:w="734"/>
        <w:gridCol w:w="143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省级预算部门名称</w:t>
            </w:r>
          </w:p>
        </w:tc>
        <w:tc>
          <w:tcPr>
            <w:tcW w:w="8999"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湖南省地质院</w:t>
            </w: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年度预</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算申请</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25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年初预算数</w:t>
            </w:r>
          </w:p>
        </w:tc>
        <w:tc>
          <w:tcPr>
            <w:tcW w:w="1596"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全年预算数</w:t>
            </w:r>
          </w:p>
        </w:tc>
        <w:tc>
          <w:tcPr>
            <w:tcW w:w="1217"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72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73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3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color w:val="000000"/>
                <w:sz w:val="20"/>
                <w:szCs w:val="20"/>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271879.70</w:t>
            </w:r>
          </w:p>
        </w:tc>
        <w:tc>
          <w:tcPr>
            <w:tcW w:w="1596"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278482.24</w:t>
            </w:r>
          </w:p>
        </w:tc>
        <w:tc>
          <w:tcPr>
            <w:tcW w:w="1217"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275735.18</w:t>
            </w:r>
          </w:p>
        </w:tc>
        <w:tc>
          <w:tcPr>
            <w:tcW w:w="72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73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99%</w:t>
            </w:r>
          </w:p>
        </w:tc>
        <w:tc>
          <w:tcPr>
            <w:tcW w:w="143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按收入性质分：</w:t>
            </w:r>
          </w:p>
        </w:tc>
        <w:tc>
          <w:tcPr>
            <w:tcW w:w="4114"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rPr>
              <w:t>174885.22</w:t>
            </w:r>
          </w:p>
        </w:tc>
        <w:tc>
          <w:tcPr>
            <w:tcW w:w="4114"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rPr>
              <w:t>150863.20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政府性基金拨款：</w:t>
            </w:r>
            <w:r>
              <w:rPr>
                <w:rFonts w:hint="eastAsia" w:ascii="Times New Roman" w:hAnsi="Times New Roman" w:eastAsia="仿宋_GB2312" w:cs="Times New Roman"/>
                <w:color w:val="000000"/>
                <w:sz w:val="20"/>
                <w:szCs w:val="20"/>
              </w:rPr>
              <w:t>0</w:t>
            </w:r>
          </w:p>
        </w:tc>
        <w:tc>
          <w:tcPr>
            <w:tcW w:w="411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rPr>
              <w:t>26292.77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纳入专户管理的非税收入拨款：</w:t>
            </w:r>
            <w:r>
              <w:rPr>
                <w:rFonts w:hint="eastAsia" w:ascii="Times New Roman" w:hAnsi="Times New Roman" w:eastAsia="仿宋_GB2312" w:cs="Times New Roman"/>
                <w:color w:val="000000"/>
                <w:sz w:val="20"/>
                <w:szCs w:val="20"/>
              </w:rPr>
              <w:t>0</w:t>
            </w:r>
          </w:p>
        </w:tc>
        <w:tc>
          <w:tcPr>
            <w:tcW w:w="4114"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 xml:space="preserve">      经营支出：98579.21</w:t>
            </w: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r>
              <w:rPr>
                <w:rFonts w:hint="eastAsia" w:ascii="Times New Roman" w:hAnsi="Times New Roman" w:eastAsia="仿宋_GB2312" w:cs="Times New Roman"/>
                <w:color w:val="000000"/>
                <w:sz w:val="20"/>
                <w:szCs w:val="20"/>
              </w:rPr>
              <w:t>103597.02</w:t>
            </w:r>
          </w:p>
        </w:tc>
        <w:tc>
          <w:tcPr>
            <w:tcW w:w="4114"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885"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11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4885"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保持战略定力，把握发展主动权，不断夯实湖南地质事业高质量发展的基础，切实维护安全和谐发展稳定大局，加快推进建设现代新型一流和谐的地质强院。</w:t>
            </w:r>
            <w:r>
              <w:rPr>
                <w:rFonts w:ascii="Times New Roman" w:hAnsi="Times New Roman" w:eastAsia="仿宋_GB2312" w:cs="Times New Roman"/>
                <w:color w:val="000000"/>
                <w:sz w:val="20"/>
                <w:szCs w:val="20"/>
              </w:rPr>
              <w:t>　　</w:t>
            </w:r>
          </w:p>
        </w:tc>
        <w:tc>
          <w:tcPr>
            <w:tcW w:w="411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基本完成经济稳中有进、改革稳妥实施、能力稳步提高、民生有力保障的总目标，</w:t>
            </w:r>
            <w:r>
              <w:rPr>
                <w:rFonts w:ascii="Times New Roman" w:hAnsi="Times New Roman" w:eastAsia="仿宋_GB2312" w:cs="Times New Roman"/>
                <w:color w:val="000000"/>
                <w:sz w:val="20"/>
                <w:szCs w:val="20"/>
              </w:rPr>
              <w:t>各项工作稳步推进</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取得较好成效。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p>
            <w:pPr>
              <w:widowControl/>
              <w:spacing w:line="240" w:lineRule="exact"/>
              <w:jc w:val="center"/>
              <w:rPr>
                <w:rFonts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501"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年度指标值</w:t>
            </w:r>
          </w:p>
        </w:tc>
        <w:tc>
          <w:tcPr>
            <w:tcW w:w="1217"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实际完成值</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得分</w:t>
            </w:r>
          </w:p>
        </w:tc>
        <w:tc>
          <w:tcPr>
            <w:tcW w:w="143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pPr>
              <w:widowControl/>
              <w:spacing w:line="240" w:lineRule="exact"/>
              <w:jc w:val="center"/>
              <w:rPr>
                <w:rFonts w:ascii="Times New Roman" w:hAnsi="Times New Roman" w:eastAsia="仿宋_GB2312" w:cs="Times New Roman"/>
                <w:color w:val="000000"/>
                <w:sz w:val="20"/>
                <w:szCs w:val="20"/>
              </w:rPr>
            </w:pP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(50分)</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收入完成率</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（预算收入实际完成数/收入预算数）*100%</w:t>
            </w:r>
          </w:p>
        </w:tc>
        <w:tc>
          <w:tcPr>
            <w:tcW w:w="121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102.43%</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15</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15</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0"/>
                <w:szCs w:val="20"/>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支出完成率</w:t>
            </w:r>
          </w:p>
        </w:tc>
        <w:tc>
          <w:tcPr>
            <w:tcW w:w="1501" w:type="dxa"/>
            <w:tcBorders>
              <w:top w:val="nil"/>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（预算支出完成数/支出预算数）*100%</w:t>
            </w:r>
          </w:p>
        </w:tc>
        <w:tc>
          <w:tcPr>
            <w:tcW w:w="121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101.42%</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15</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15</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资金使用合规性</w:t>
            </w:r>
          </w:p>
        </w:tc>
        <w:tc>
          <w:tcPr>
            <w:tcW w:w="1501" w:type="dxa"/>
            <w:tcBorders>
              <w:top w:val="nil"/>
              <w:left w:val="nil"/>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无预算不开支</w:t>
            </w:r>
          </w:p>
        </w:tc>
        <w:tc>
          <w:tcPr>
            <w:tcW w:w="1217" w:type="dxa"/>
            <w:tcBorders>
              <w:top w:val="nil"/>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734" w:type="dxa"/>
            <w:tcBorders>
              <w:top w:val="nil"/>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预决算信息公开性</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依法依规公开相关信息</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5</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5</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三公经费控制率</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零增长</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5</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5</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pPr>
              <w:widowControl/>
              <w:spacing w:line="240" w:lineRule="exact"/>
              <w:jc w:val="left"/>
              <w:rPr>
                <w:rFonts w:ascii="Times New Roman" w:hAnsi="Times New Roman" w:eastAsia="仿宋_GB2312" w:cs="Times New Roman"/>
                <w:color w:val="000000"/>
                <w:sz w:val="20"/>
                <w:szCs w:val="20"/>
              </w:rPr>
            </w:pP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地质主业</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发展态势良好</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734" w:type="dxa"/>
            <w:tcBorders>
              <w:top w:val="nil"/>
              <w:left w:val="nil"/>
              <w:bottom w:val="single" w:color="auto" w:sz="4" w:space="0"/>
              <w:right w:val="single" w:color="auto" w:sz="4" w:space="0"/>
            </w:tcBorders>
            <w:vAlign w:val="center"/>
          </w:tcPr>
          <w:p>
            <w:pPr>
              <w:widowControl/>
              <w:spacing w:line="240" w:lineRule="exact"/>
              <w:ind w:firstLine="210" w:firstLineChars="100"/>
              <w:jc w:val="left"/>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确保民生</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保持队伍稳定</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10</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环境保护</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效果较好</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10</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持续发展主业</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发展态势良好</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100%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5</w:t>
            </w: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5</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953" w:type="dxa"/>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服务基层</w:t>
            </w:r>
          </w:p>
        </w:tc>
        <w:tc>
          <w:tcPr>
            <w:tcW w:w="150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效果较好</w:t>
            </w:r>
          </w:p>
        </w:tc>
        <w:tc>
          <w:tcPr>
            <w:tcW w:w="12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95%</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4"/>
              </w:rPr>
            </w:pPr>
            <w:r>
              <w:rPr>
                <w:rFonts w:hint="eastAsia" w:ascii="仿宋_GB2312" w:hAnsi="宋体" w:eastAsia="仿宋_GB2312" w:cs="宋体"/>
                <w:color w:val="000000"/>
                <w:kern w:val="0"/>
              </w:rPr>
              <w:t>5</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4"/>
              </w:rPr>
            </w:pPr>
            <w:r>
              <w:rPr>
                <w:rFonts w:hint="eastAsia" w:ascii="仿宋_GB2312" w:hAnsi="宋体" w:eastAsia="仿宋_GB2312" w:cs="宋体"/>
                <w:color w:val="000000"/>
                <w:kern w:val="0"/>
              </w:rPr>
              <w:t>　4</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地勘改革涉及的事业单位众多、体系复杂，统一规范难度大。后续将进一步做好转型发展、稳定等工作。</w:t>
            </w:r>
          </w:p>
        </w:tc>
      </w:tr>
      <w:tr>
        <w:tblPrEx>
          <w:tblCellMar>
            <w:top w:w="0" w:type="dxa"/>
            <w:left w:w="108" w:type="dxa"/>
            <w:bottom w:w="0" w:type="dxa"/>
            <w:right w:w="108" w:type="dxa"/>
          </w:tblCellMar>
        </w:tblPrEx>
        <w:trPr>
          <w:trHeight w:val="270" w:hRule="atLeast"/>
          <w:jc w:val="center"/>
        </w:trPr>
        <w:tc>
          <w:tcPr>
            <w:tcW w:w="7182"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72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734"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99</w:t>
            </w:r>
          </w:p>
        </w:tc>
        <w:tc>
          <w:tcPr>
            <w:tcW w:w="1438"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pPr>
        <w:pStyle w:val="2"/>
      </w:pPr>
      <w:r>
        <w:rPr>
          <w:rFonts w:ascii="Times New Roman" w:hAnsi="Times New Roman" w:eastAsia="仿宋_GB2312" w:cs="Times New Roman"/>
          <w:sz w:val="22"/>
          <w:szCs w:val="22"/>
        </w:rPr>
        <w:t>填表人</w:t>
      </w:r>
      <w:r>
        <w:rPr>
          <w:rFonts w:hint="eastAsia" w:ascii="Times New Roman" w:hAnsi="Times New Roman" w:eastAsia="仿宋_GB2312" w:cs="Times New Roman"/>
          <w:sz w:val="22"/>
          <w:szCs w:val="22"/>
        </w:rPr>
        <w:t>：何唯实</w:t>
      </w:r>
      <w:r>
        <w:rPr>
          <w:rFonts w:ascii="Times New Roman" w:hAnsi="Times New Roman" w:eastAsia="仿宋_GB2312" w:cs="Times New Roman"/>
          <w:sz w:val="22"/>
          <w:szCs w:val="22"/>
        </w:rPr>
        <w:t xml:space="preserve"> 填报日期：</w:t>
      </w:r>
      <w:r>
        <w:rPr>
          <w:rFonts w:ascii="Times New Roman" w:hAnsi="Times New Roman" w:eastAsia="仿宋_GB2312" w:cs="Times New Roman"/>
          <w:sz w:val="22"/>
          <w:lang w:val="en"/>
        </w:rPr>
        <w:t>2022.0</w:t>
      </w:r>
      <w:r>
        <w:rPr>
          <w:rFonts w:hint="eastAsia" w:ascii="Times New Roman" w:hAnsi="Times New Roman" w:eastAsia="仿宋_GB2312" w:cs="Times New Roman"/>
          <w:sz w:val="22"/>
        </w:rPr>
        <w:t>5</w:t>
      </w:r>
      <w:r>
        <w:rPr>
          <w:rFonts w:ascii="Times New Roman" w:hAnsi="Times New Roman" w:eastAsia="仿宋_GB2312" w:cs="Times New Roman"/>
          <w:sz w:val="22"/>
          <w:lang w:val="en"/>
        </w:rPr>
        <w:t>.16</w:t>
      </w:r>
      <w:r>
        <w:rPr>
          <w:rFonts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rPr>
        <w:t>15674872668</w:t>
      </w:r>
      <w:r>
        <w:rPr>
          <w:rFonts w:ascii="Times New Roman" w:hAnsi="Times New Roman" w:eastAsia="仿宋_GB2312" w:cs="Times New Roman"/>
          <w:sz w:val="22"/>
          <w:szCs w:val="22"/>
        </w:rPr>
        <w:t xml:space="preserve"> 单位负责人签字：</w:t>
      </w:r>
    </w:p>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EC4D0"/>
    <w:multiLevelType w:val="singleLevel"/>
    <w:tmpl w:val="DB6EC4D0"/>
    <w:lvl w:ilvl="0" w:tentative="0">
      <w:start w:val="8"/>
      <w:numFmt w:val="chineseCounting"/>
      <w:suff w:val="nothing"/>
      <w:lvlText w:val="%1、"/>
      <w:lvlJc w:val="left"/>
      <w:rPr>
        <w:rFonts w:hint="eastAsia"/>
      </w:rPr>
    </w:lvl>
  </w:abstractNum>
  <w:abstractNum w:abstractNumId="1">
    <w:nsid w:val="DBCF8C1F"/>
    <w:multiLevelType w:val="singleLevel"/>
    <w:tmpl w:val="DBCF8C1F"/>
    <w:lvl w:ilvl="0" w:tentative="0">
      <w:start w:val="4"/>
      <w:numFmt w:val="chineseCounting"/>
      <w:suff w:val="nothing"/>
      <w:lvlText w:val="%1、"/>
      <w:lvlJc w:val="left"/>
      <w:rPr>
        <w:rFonts w:hint="eastAsia"/>
      </w:rPr>
    </w:lvl>
  </w:abstractNum>
  <w:abstractNum w:abstractNumId="2">
    <w:nsid w:val="DBF6EAD2"/>
    <w:multiLevelType w:val="singleLevel"/>
    <w:tmpl w:val="DBF6EAD2"/>
    <w:lvl w:ilvl="0" w:tentative="0">
      <w:start w:val="2"/>
      <w:numFmt w:val="chineseCounting"/>
      <w:suff w:val="nothing"/>
      <w:lvlText w:val="（%1）"/>
      <w:lvlJc w:val="left"/>
      <w:rPr>
        <w:rFonts w:hint="eastAsia"/>
      </w:rPr>
    </w:lvl>
  </w:abstractNum>
  <w:abstractNum w:abstractNumId="3">
    <w:nsid w:val="3BFE216E"/>
    <w:multiLevelType w:val="singleLevel"/>
    <w:tmpl w:val="3BFE216E"/>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MmY0OGJjNmMxMWU1MmY1ZGQ4NmJmNGU1NTUxMjMifQ=="/>
  </w:docVars>
  <w:rsids>
    <w:rsidRoot w:val="004506F9"/>
    <w:rsid w:val="0002229B"/>
    <w:rsid w:val="000273BD"/>
    <w:rsid w:val="000415B7"/>
    <w:rsid w:val="00041E3F"/>
    <w:rsid w:val="00055DAA"/>
    <w:rsid w:val="00061F7B"/>
    <w:rsid w:val="000658A3"/>
    <w:rsid w:val="00074155"/>
    <w:rsid w:val="000873EF"/>
    <w:rsid w:val="000A3F69"/>
    <w:rsid w:val="000A70BD"/>
    <w:rsid w:val="000D51A4"/>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0C53"/>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30D25"/>
    <w:rsid w:val="00641842"/>
    <w:rsid w:val="00651EEC"/>
    <w:rsid w:val="006847C7"/>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47F9F"/>
    <w:rsid w:val="00B57C9F"/>
    <w:rsid w:val="00B63572"/>
    <w:rsid w:val="00B845B3"/>
    <w:rsid w:val="00B85D8B"/>
    <w:rsid w:val="00BB4A40"/>
    <w:rsid w:val="00BD6C3E"/>
    <w:rsid w:val="00BE3674"/>
    <w:rsid w:val="00C10681"/>
    <w:rsid w:val="00C3049A"/>
    <w:rsid w:val="00C31B1E"/>
    <w:rsid w:val="00C640D4"/>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9670E"/>
    <w:rsid w:val="00EA2B72"/>
    <w:rsid w:val="00F74360"/>
    <w:rsid w:val="00FB462F"/>
    <w:rsid w:val="00FE16FA"/>
    <w:rsid w:val="00FE328A"/>
    <w:rsid w:val="00FE6269"/>
    <w:rsid w:val="00FF5CD6"/>
    <w:rsid w:val="147F6E81"/>
    <w:rsid w:val="179A1B72"/>
    <w:rsid w:val="1BFF451A"/>
    <w:rsid w:val="1FE7A553"/>
    <w:rsid w:val="1FF71A5D"/>
    <w:rsid w:val="274F7950"/>
    <w:rsid w:val="2E2F694B"/>
    <w:rsid w:val="2EFD58A7"/>
    <w:rsid w:val="33BA6CED"/>
    <w:rsid w:val="365BB51C"/>
    <w:rsid w:val="379F65EE"/>
    <w:rsid w:val="37F7A088"/>
    <w:rsid w:val="3B578A0C"/>
    <w:rsid w:val="3F7F8FE3"/>
    <w:rsid w:val="3FBD3FD8"/>
    <w:rsid w:val="3FBEFD15"/>
    <w:rsid w:val="3FD3D8C8"/>
    <w:rsid w:val="47D73783"/>
    <w:rsid w:val="4DBEA28E"/>
    <w:rsid w:val="4EFF8FEA"/>
    <w:rsid w:val="4F8C1A0A"/>
    <w:rsid w:val="4FF4F5E5"/>
    <w:rsid w:val="55965C8F"/>
    <w:rsid w:val="59845C71"/>
    <w:rsid w:val="5B5AEC40"/>
    <w:rsid w:val="5BF65339"/>
    <w:rsid w:val="5C9FC1D0"/>
    <w:rsid w:val="5DEF8306"/>
    <w:rsid w:val="5E95F1A9"/>
    <w:rsid w:val="5F5DDFBF"/>
    <w:rsid w:val="5FBFA411"/>
    <w:rsid w:val="5FEF6CCD"/>
    <w:rsid w:val="5FFFCD97"/>
    <w:rsid w:val="65FCBF28"/>
    <w:rsid w:val="676B268E"/>
    <w:rsid w:val="67D7FD4C"/>
    <w:rsid w:val="69FFCBAE"/>
    <w:rsid w:val="6ADE96D2"/>
    <w:rsid w:val="6BABC590"/>
    <w:rsid w:val="6D4BEE80"/>
    <w:rsid w:val="6D9B831E"/>
    <w:rsid w:val="6DEBCE16"/>
    <w:rsid w:val="6E7FE588"/>
    <w:rsid w:val="6EFD270F"/>
    <w:rsid w:val="6F9F7422"/>
    <w:rsid w:val="6FFB8F64"/>
    <w:rsid w:val="6FFF4A41"/>
    <w:rsid w:val="7277A97C"/>
    <w:rsid w:val="727BCDA5"/>
    <w:rsid w:val="72FF5D6E"/>
    <w:rsid w:val="73E698EB"/>
    <w:rsid w:val="77EF38F6"/>
    <w:rsid w:val="77FFF42A"/>
    <w:rsid w:val="79E39243"/>
    <w:rsid w:val="79FFA0B9"/>
    <w:rsid w:val="7AF53186"/>
    <w:rsid w:val="7B3D21C0"/>
    <w:rsid w:val="7BAD437E"/>
    <w:rsid w:val="7BBFAFFE"/>
    <w:rsid w:val="7C7F664E"/>
    <w:rsid w:val="7CF3FD55"/>
    <w:rsid w:val="7D6461CE"/>
    <w:rsid w:val="7D7EC630"/>
    <w:rsid w:val="7DE92F27"/>
    <w:rsid w:val="7DEC0B7E"/>
    <w:rsid w:val="7DFB1786"/>
    <w:rsid w:val="7EDB9E7B"/>
    <w:rsid w:val="7EF7341E"/>
    <w:rsid w:val="7EF74056"/>
    <w:rsid w:val="7EFA68F6"/>
    <w:rsid w:val="7EFD4430"/>
    <w:rsid w:val="7EFFAF9C"/>
    <w:rsid w:val="7EFFCB22"/>
    <w:rsid w:val="7F2F035A"/>
    <w:rsid w:val="7F4FA10F"/>
    <w:rsid w:val="7F563D27"/>
    <w:rsid w:val="7F5B9F73"/>
    <w:rsid w:val="7F69C642"/>
    <w:rsid w:val="7F77BC95"/>
    <w:rsid w:val="7FB6AB53"/>
    <w:rsid w:val="7FC35964"/>
    <w:rsid w:val="7FC7395C"/>
    <w:rsid w:val="7FEB460C"/>
    <w:rsid w:val="7FEFAE53"/>
    <w:rsid w:val="7FFB489D"/>
    <w:rsid w:val="7FFB9903"/>
    <w:rsid w:val="7FFD16EB"/>
    <w:rsid w:val="7FFD3C5D"/>
    <w:rsid w:val="7FFDCB2C"/>
    <w:rsid w:val="7FFE8E51"/>
    <w:rsid w:val="7FFF405E"/>
    <w:rsid w:val="7FFF454A"/>
    <w:rsid w:val="973BB3F2"/>
    <w:rsid w:val="9BD5A0FB"/>
    <w:rsid w:val="9BFF25E6"/>
    <w:rsid w:val="9FB75548"/>
    <w:rsid w:val="A67F6F6F"/>
    <w:rsid w:val="ABDB2B7D"/>
    <w:rsid w:val="ACFDC53E"/>
    <w:rsid w:val="AF4B1887"/>
    <w:rsid w:val="AF7E89AA"/>
    <w:rsid w:val="AFFFFB80"/>
    <w:rsid w:val="B8E2D43B"/>
    <w:rsid w:val="B9975728"/>
    <w:rsid w:val="BA7309A1"/>
    <w:rsid w:val="BBFDA565"/>
    <w:rsid w:val="BCFBA98B"/>
    <w:rsid w:val="BD5D1D81"/>
    <w:rsid w:val="BD6F6EC8"/>
    <w:rsid w:val="BDEB40BA"/>
    <w:rsid w:val="BDFCD710"/>
    <w:rsid w:val="BEFE2674"/>
    <w:rsid w:val="BF8DC186"/>
    <w:rsid w:val="BFBF8EC7"/>
    <w:rsid w:val="BFE6EBB1"/>
    <w:rsid w:val="C7D90049"/>
    <w:rsid w:val="C7EF4C3A"/>
    <w:rsid w:val="C7F95329"/>
    <w:rsid w:val="CBFAA0FE"/>
    <w:rsid w:val="CEFE41FD"/>
    <w:rsid w:val="CF5B5ABF"/>
    <w:rsid w:val="CF726E21"/>
    <w:rsid w:val="CFAF04AA"/>
    <w:rsid w:val="D7FE9939"/>
    <w:rsid w:val="D7FF9D2E"/>
    <w:rsid w:val="D8B77E4D"/>
    <w:rsid w:val="D97E1F1C"/>
    <w:rsid w:val="DBDF07D7"/>
    <w:rsid w:val="DC6F7150"/>
    <w:rsid w:val="DE5FB071"/>
    <w:rsid w:val="DECB9C29"/>
    <w:rsid w:val="DF1FD878"/>
    <w:rsid w:val="DFF9F19A"/>
    <w:rsid w:val="E2F7D217"/>
    <w:rsid w:val="E7BF9DB4"/>
    <w:rsid w:val="EAFFD728"/>
    <w:rsid w:val="EB7F9648"/>
    <w:rsid w:val="EBFB7B5F"/>
    <w:rsid w:val="ECBF1BFC"/>
    <w:rsid w:val="EDFE8374"/>
    <w:rsid w:val="EE13BED9"/>
    <w:rsid w:val="EE7F4ABA"/>
    <w:rsid w:val="EF6947E6"/>
    <w:rsid w:val="EF8FB324"/>
    <w:rsid w:val="EFCFB7D7"/>
    <w:rsid w:val="EFDFB112"/>
    <w:rsid w:val="EFEEE873"/>
    <w:rsid w:val="F167C8FF"/>
    <w:rsid w:val="F2F69FF6"/>
    <w:rsid w:val="F3FB4267"/>
    <w:rsid w:val="F47E846D"/>
    <w:rsid w:val="F5D92B69"/>
    <w:rsid w:val="F6DB0B4E"/>
    <w:rsid w:val="F6FF202B"/>
    <w:rsid w:val="F7CF0ECE"/>
    <w:rsid w:val="F7E78FA3"/>
    <w:rsid w:val="F7F7E932"/>
    <w:rsid w:val="F7FFD45E"/>
    <w:rsid w:val="F7FFE7D2"/>
    <w:rsid w:val="FABED650"/>
    <w:rsid w:val="FAD76E35"/>
    <w:rsid w:val="FB38D398"/>
    <w:rsid w:val="FBEB73CC"/>
    <w:rsid w:val="FBFE93EA"/>
    <w:rsid w:val="FD7FA663"/>
    <w:rsid w:val="FD922B38"/>
    <w:rsid w:val="FDBFDB18"/>
    <w:rsid w:val="FDDF02DA"/>
    <w:rsid w:val="FDFFC1AE"/>
    <w:rsid w:val="FDFFC37A"/>
    <w:rsid w:val="FE3D10D9"/>
    <w:rsid w:val="FECCFF4A"/>
    <w:rsid w:val="FEFF80F8"/>
    <w:rsid w:val="FF326067"/>
    <w:rsid w:val="FF37E407"/>
    <w:rsid w:val="FF6B658A"/>
    <w:rsid w:val="FF6BAF74"/>
    <w:rsid w:val="FF9F40E3"/>
    <w:rsid w:val="FFAB4025"/>
    <w:rsid w:val="FFAD6EBD"/>
    <w:rsid w:val="FFDB9D89"/>
    <w:rsid w:val="FFEBB772"/>
    <w:rsid w:val="FFED08B8"/>
    <w:rsid w:val="FFEED7E8"/>
    <w:rsid w:val="FFEF0C1F"/>
    <w:rsid w:val="FFEF338C"/>
    <w:rsid w:val="FFEFAA56"/>
    <w:rsid w:val="FFF31563"/>
    <w:rsid w:val="FFF710B8"/>
    <w:rsid w:val="FFF7C2EE"/>
    <w:rsid w:val="FFF88EF7"/>
    <w:rsid w:val="FFFF1F59"/>
    <w:rsid w:val="FFFF5F10"/>
    <w:rsid w:val="FFFFC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3">
    <w:name w:val="index 7"/>
    <w:basedOn w:val="1"/>
    <w:next w:val="1"/>
    <w:unhideWhenUsed/>
    <w:qFormat/>
    <w:uiPriority w:val="99"/>
    <w:pPr>
      <w:ind w:left="2520"/>
    </w:pPr>
    <w:rPr>
      <w:rFonts w:ascii="Calibri" w:hAnsi="Calibri"/>
    </w:rPr>
  </w:style>
  <w:style w:type="paragraph" w:styleId="4">
    <w:name w:val="Body Text Indent"/>
    <w:basedOn w:val="1"/>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4"/>
    <w:unhideWhenUsed/>
    <w:qFormat/>
    <w:uiPriority w:val="99"/>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18384</Words>
  <Characters>26989</Characters>
  <Lines>224</Lines>
  <Paragraphs>63</Paragraphs>
  <TotalTime>0</TotalTime>
  <ScaleCrop>false</ScaleCrop>
  <LinksUpToDate>false</LinksUpToDate>
  <CharactersWithSpaces>27961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2022-09-04T20:50:00Z</dcterms:created>
  <dc:creator>李航 null</dc:creator>
  <cp:lastModifiedBy>kx</cp:lastModifiedBy>
  <cp:lastPrinted>2022-09-05T08:30:00Z</cp:lastPrinted>
  <dcterms:modified xsi:type="dcterms:W3CDTF">2023-09-26T09:47:25Z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BEE986505F374257A08791663F92A23E</vt:lpwstr>
  </property>
</Properties>
</file>