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b"/>
        <w:ind/>
        <w:jc w:val="center"/>
        <w:rPr>
          <w:color w:val="auto"/>
          <w:sz w:val="56"/>
          <w:szCs w:val="56"/>
        </w:rPr>
      </w:pPr>
    </w:p>
    <w:p>
      <w:pPr>
        <w:pStyle w:val="00000b"/>
        <w:ind/>
        <w:jc w:val="center"/>
        <w:rPr>
          <w:color w:val="auto"/>
          <w:sz w:val="56"/>
          <w:szCs w:val="56"/>
        </w:rPr>
      </w:pPr>
    </w:p>
    <w:p>
      <w:pPr>
        <w:pStyle w:val="00000b"/>
        <w:ind/>
        <w:jc w:val="center"/>
        <w:rPr>
          <w:color w:val="auto"/>
          <w:sz w:val="84"/>
          <w:szCs w:val="84"/>
        </w:rPr>
      </w:pPr>
    </w:p>
    <w:p>
      <w:pPr>
        <w:pStyle w:val="00000b"/>
        <w:ind/>
        <w:jc w:val="center"/>
        <w:rPr>
          <w:color w:val="auto"/>
          <w:sz w:val="84"/>
          <w:szCs w:val="84"/>
        </w:rPr>
      </w:pPr>
    </w:p>
    <w:p>
      <w:pPr>
        <w:pStyle w:val="00000b"/>
        <w:spacing w:line="660" w:lineRule="exact"/>
        <w:ind/>
        <w:jc w:val="center"/>
        <w:rPr>
          <w:color w:val="auto"/>
          <w:sz w:val="44"/>
          <w:szCs w:val="44"/>
        </w:rPr>
      </w:pPr>
      <w:r>
        <w:rPr>
          <w:rFonts w:hint="eastAsia"/>
          <w:color w:val="auto"/>
          <w:sz w:val="44"/>
          <w:szCs w:val="44"/>
        </w:rPr>
        <w:t>2020年度</w:t>
      </w:r>
    </w:p>
    <w:p>
      <w:pPr>
        <w:pStyle w:val="00000b"/>
        <w:spacing w:line="660" w:lineRule="exact"/>
        <w:ind/>
        <w:jc w:val="center"/>
        <w:rPr>
          <w:color w:val="auto"/>
          <w:sz w:val="44"/>
          <w:szCs w:val="44"/>
        </w:rPr>
      </w:pPr>
    </w:p>
    <w:p>
      <w:pPr>
        <w:pStyle w:val="00000b"/>
        <w:spacing w:line="660" w:lineRule="exact"/>
        <w:ind/>
        <w:jc w:val="center"/>
        <w:rPr>
          <w:color w:val="auto"/>
          <w:sz w:val="44"/>
          <w:szCs w:val="44"/>
        </w:rPr>
      </w:pPr>
      <w:r>
        <w:rPr>
          <w:rFonts w:hint="eastAsia"/>
          <w:color w:val="auto"/>
          <w:sz w:val="44"/>
          <w:szCs w:val="44"/>
        </w:rPr>
        <w:t>湖南省煤田地质局第二勘探队部门决算</w:t>
      </w:r>
    </w:p>
    <w:p>
      <w:pPr>
        <w:pStyle w:val="00000b"/>
        <w:ind/>
        <w:jc w:val="center"/>
        <w:rPr>
          <w:color w:val="auto"/>
          <w:sz w:val="56"/>
          <w:szCs w:val="56"/>
        </w:rPr>
      </w:pPr>
    </w:p>
    <w:p>
      <w:pPr>
        <w:pStyle w:val="00000b"/>
        <w:ind/>
        <w:jc w:val="center"/>
        <w:rPr>
          <w:color w:val="auto"/>
          <w:sz w:val="56"/>
          <w:szCs w:val="56"/>
        </w:rPr>
      </w:pPr>
    </w:p>
    <w:p>
      <w:pPr>
        <w:pStyle w:val="00000b"/>
        <w:ind/>
        <w:jc w:val="center"/>
        <w:rPr>
          <w:color w:val="auto"/>
          <w:sz w:val="56"/>
          <w:szCs w:val="56"/>
        </w:rPr>
      </w:pPr>
    </w:p>
    <w:p>
      <w:pPr>
        <w:pStyle w:val="00000b"/>
        <w:ind/>
        <w:jc w:val="center"/>
        <w:rPr>
          <w:color w:val="auto"/>
          <w:sz w:val="56"/>
          <w:szCs w:val="56"/>
        </w:rPr>
      </w:pPr>
    </w:p>
    <w:p>
      <w:pPr>
        <w:pStyle w:val="00000b"/>
        <w:ind/>
        <w:jc w:val="center"/>
        <w:rPr>
          <w:color w:val="auto"/>
          <w:sz w:val="32"/>
          <w:szCs w:val="32"/>
        </w:rPr>
      </w:pPr>
    </w:p>
    <w:p>
      <w:pPr>
        <w:pStyle w:val="00000b"/>
        <w:ind/>
        <w:jc w:val="center"/>
        <w:rPr>
          <w:color w:val="auto"/>
          <w:sz w:val="32"/>
          <w:szCs w:val="32"/>
        </w:rPr>
      </w:pPr>
    </w:p>
    <w:p>
      <w:pPr>
        <w:pStyle w:val="00000b"/>
        <w:ind/>
        <w:jc w:val="center"/>
        <w:rPr>
          <w:color w:val="auto"/>
          <w:sz w:val="32"/>
          <w:szCs w:val="32"/>
        </w:rPr>
      </w:pPr>
    </w:p>
    <w:p>
      <w:pPr>
        <w:pStyle w:val="00000b"/>
        <w:ind/>
        <w:jc w:val="center"/>
        <w:rPr>
          <w:color w:val="auto"/>
          <w:sz w:val="32"/>
          <w:szCs w:val="32"/>
        </w:rPr>
      </w:pPr>
    </w:p>
    <w:p>
      <w:pPr>
        <w:pStyle w:val="00000b"/>
        <w:spacing w:line="540" w:lineRule="exact"/>
        <w:ind/>
        <w:jc w:val="center"/>
        <w:rPr>
          <w:color w:val="auto"/>
          <w:sz w:val="56"/>
          <w:szCs w:val="56"/>
        </w:rPr>
      </w:pPr>
    </w:p>
    <w:p>
      <w:pPr>
        <w:pStyle w:val="00000b"/>
        <w:spacing w:line="500" w:lineRule="exact"/>
        <w:ind/>
        <w:jc w:val="center"/>
        <w:rPr>
          <w:b/>
          <w:color w:val="auto"/>
          <w:sz w:val="36"/>
          <w:szCs w:val="28"/>
        </w:rPr>
      </w:pPr>
    </w:p>
    <w:p>
      <w:pPr>
        <w:pStyle w:val="00000b"/>
        <w:spacing w:line="500" w:lineRule="exact"/>
        <w:ind/>
        <w:jc w:val="center"/>
        <w:rPr>
          <w:b/>
          <w:color w:val="auto"/>
          <w:sz w:val="36"/>
          <w:szCs w:val="36"/>
        </w:rPr>
      </w:pPr>
      <w:r>
        <w:rPr>
          <w:rFonts w:hint="eastAsia"/>
          <w:b/>
          <w:color w:val="auto"/>
          <w:sz w:val="36"/>
          <w:szCs w:val="36"/>
        </w:rPr>
        <w:t>目   录</w:t>
      </w:r>
    </w:p>
    <w:p>
      <w:pPr>
        <w:pStyle w:val="00000b"/>
        <w:spacing w:line="460" w:lineRule="exact"/>
        <w:ind/>
        <w:rPr>
          <w:rFonts w:ascii="仿宋_GB2312" w:hAnsi="仿宋_GB2312" w:cs="仿宋_GB2312"/>
          <w:b/>
          <w:color w:val="auto"/>
          <w:sz w:val="28"/>
          <w:szCs w:val="28"/>
        </w:rPr>
      </w:pPr>
      <w:r>
        <w:rPr>
          <w:rFonts w:hint="eastAsia"/>
          <w:b/>
          <w:color w:val="auto"/>
          <w:sz w:val="28"/>
          <w:szCs w:val="28"/>
        </w:rPr>
        <w:t>第一部分湖南省煤田地质局第二勘探队单位概况</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00000b"/>
        <w:spacing w:line="460" w:lineRule="exact"/>
        <w:ind/>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20年度部门决算表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00000b"/>
        <w:spacing w:line="460" w:lineRule="exact"/>
        <w:ind/>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20年度部门决算情况说明</w:t>
      </w:r>
    </w:p>
    <w:p>
      <w:pPr>
        <w:pStyle w:val="00000b"/>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46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七、一般公共预算财政拨款三公经费支出决算情况说明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八</w:t>
      </w:r>
      <w:r>
        <w:rPr>
          <w:rFonts w:ascii="仿宋_GB2312" w:hAnsi="仿宋_GB2312" w:cs="仿宋_GB2312"/>
          <w:kern w:val="0"/>
          <w:sz w:val="28"/>
          <w:szCs w:val="28"/>
        </w:rPr>
        <w:t>、</w:t>
      </w:r>
      <w:r>
        <w:rPr>
          <w:rFonts w:hint="eastAsia" w:ascii="仿宋_GB2312" w:hAnsi="仿宋_GB2312" w:cs="仿宋_GB2312"/>
          <w:kern w:val="0"/>
          <w:sz w:val="28"/>
          <w:szCs w:val="28"/>
        </w:rPr>
        <w:t>政府性基金预算收入支出决算情况</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九</w:t>
      </w:r>
      <w:r>
        <w:rPr>
          <w:rFonts w:ascii="仿宋_GB2312" w:hAnsi="仿宋_GB2312" w:cs="仿宋_GB2312"/>
          <w:kern w:val="0"/>
          <w:sz w:val="28"/>
          <w:szCs w:val="28"/>
        </w:rPr>
        <w:t>、</w:t>
      </w:r>
      <w:r>
        <w:rPr>
          <w:rFonts w:hint="eastAsia" w:ascii="仿宋_GB2312" w:hAnsi="仿宋_GB2312" w:cs="仿宋_GB2312"/>
          <w:kern w:val="0"/>
          <w:sz w:val="28"/>
          <w:szCs w:val="28"/>
        </w:rPr>
        <w:t>关于机关运行经费支出说明</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十、一般性支出情况</w:t>
      </w:r>
    </w:p>
    <w:p>
      <w:pPr>
        <w:autoSpaceDE w:val="false"/>
        <w:autoSpaceDN w:val="false"/>
        <w:adjustRightInd w:val="false"/>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十一、关于政府采购支出说明</w:t>
      </w:r>
    </w:p>
    <w:p>
      <w:pPr>
        <w:pStyle w:val="00000b"/>
        <w:spacing w:line="46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十二、关于国有资产占用情况说明</w:t>
      </w:r>
    </w:p>
    <w:p>
      <w:pPr>
        <w:pStyle w:val="00000b"/>
        <w:spacing w:line="46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十三、关</w:t>
      </w:r>
      <w:r>
        <w:rPr>
          <w:rFonts w:hint="eastAsia" w:cs="仿宋_GB2312" w:asciiTheme="minorEastAsia" w:hAnsiTheme="minorEastAsia" w:eastAsiaTheme="minorEastAsia"/>
          <w:color w:val="auto"/>
          <w:sz w:val="28"/>
          <w:szCs w:val="28"/>
        </w:rPr>
        <w:t>于2020年</w:t>
      </w:r>
      <w:r>
        <w:rPr>
          <w:rFonts w:hint="eastAsia" w:ascii="仿宋_GB2312" w:hAnsi="仿宋_GB2312" w:cs="仿宋_GB2312" w:eastAsiaTheme="minorEastAsia"/>
          <w:color w:val="auto"/>
          <w:sz w:val="28"/>
          <w:szCs w:val="28"/>
        </w:rPr>
        <w:t>度预算绩效情况的说明</w:t>
      </w:r>
    </w:p>
    <w:p>
      <w:pPr>
        <w:autoSpaceDE w:val="false"/>
        <w:autoSpaceDN w:val="false"/>
        <w:adjustRightInd w:val="false"/>
        <w:spacing w:line="460" w:lineRule="exact"/>
        <w:ind/>
        <w:jc w:val="left"/>
        <w:rPr>
          <w:rFonts w:ascii="黑体" w:hAnsi="黑体" w:eastAsia="黑体" w:cs="黑体"/>
          <w:b/>
          <w:kern w:val="0"/>
          <w:sz w:val="28"/>
          <w:szCs w:val="28"/>
        </w:rPr>
      </w:pPr>
      <w:r>
        <w:rPr>
          <w:rFonts w:ascii="黑体" w:hAnsi="黑体" w:eastAsia="黑体" w:cs="黑体"/>
          <w:b/>
          <w:kern w:val="0"/>
          <w:sz w:val="28"/>
          <w:szCs w:val="28"/>
        </w:rPr>
        <w:t>第四部分名词解释</w:t>
      </w:r>
    </w:p>
    <w:p>
      <w:pPr>
        <w:autoSpaceDE w:val="false"/>
        <w:autoSpaceDN w:val="false"/>
        <w:adjustRightInd w:val="false"/>
        <w:spacing w:line="460" w:lineRule="exact"/>
        <w:ind/>
        <w:jc w:val="left"/>
        <w:rPr>
          <w:rFonts w:ascii="黑体" w:hAnsi="黑体" w:eastAsia="黑体" w:cs="仿宋_GB2312"/>
          <w:b/>
          <w:kern w:val="0"/>
          <w:sz w:val="28"/>
          <w:szCs w:val="28"/>
        </w:rPr>
      </w:pPr>
      <w:r>
        <w:rPr>
          <w:rFonts w:hint="eastAsia" w:ascii="黑体" w:hAnsi="黑体" w:eastAsia="黑体" w:cs="黑体"/>
          <w:b/>
          <w:kern w:val="0"/>
          <w:sz w:val="28"/>
          <w:szCs w:val="28"/>
        </w:rPr>
        <w:t>第五部分附件</w:t>
      </w: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rPr>
          <w:sz w:val="72"/>
          <w:szCs w:val="72"/>
        </w:rPr>
      </w:pPr>
    </w:p>
    <w:p>
      <w:pPr>
        <w:pStyle w:val="00000b"/>
        <w:ind/>
        <w:jc w:val="center"/>
        <w:rPr>
          <w:color w:val="auto"/>
          <w:sz w:val="44"/>
          <w:szCs w:val="44"/>
        </w:rPr>
      </w:pPr>
      <w:r>
        <w:rPr>
          <w:rFonts w:hint="eastAsia"/>
          <w:color w:val="auto"/>
          <w:sz w:val="44"/>
          <w:szCs w:val="44"/>
        </w:rPr>
        <w:t>第一部分</w:t>
      </w:r>
      <w:r>
        <w:rPr>
          <w:color w:val="auto"/>
          <w:sz w:val="44"/>
          <w:szCs w:val="44"/>
        </w:rPr>
        <w:t xml:space="preserve"> </w:t>
      </w:r>
    </w:p>
    <w:p>
      <w:pPr>
        <w:pStyle w:val="00000b"/>
        <w:ind/>
        <w:jc w:val="center"/>
        <w:rPr>
          <w:color w:val="auto"/>
          <w:sz w:val="44"/>
          <w:szCs w:val="44"/>
        </w:rPr>
      </w:pPr>
    </w:p>
    <w:p>
      <w:pPr>
        <w:pStyle w:val="00000b"/>
        <w:ind/>
        <w:jc w:val="center"/>
        <w:rPr>
          <w:color w:val="auto"/>
          <w:sz w:val="44"/>
          <w:szCs w:val="44"/>
        </w:rPr>
      </w:pPr>
      <w:r>
        <w:rPr>
          <w:rFonts w:hint="eastAsia"/>
          <w:color w:val="auto"/>
          <w:sz w:val="44"/>
          <w:szCs w:val="44"/>
        </w:rPr>
        <w:t>湖南省煤田地质局第二勘探队单位概况</w:t>
      </w: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pStyle w:val="00000c"/>
        <w:ind w:left="720" w:firstLine="0" w:firstLineChars="0"/>
        <w:jc w:val="left"/>
        <w:rPr>
          <w:rFonts w:ascii="黑体" w:hAnsi="黑体" w:eastAsia="黑体"/>
          <w:sz w:val="32"/>
          <w:szCs w:val="32"/>
        </w:rPr>
      </w:pPr>
    </w:p>
    <w:p>
      <w:pPr>
        <w:pStyle w:val="00000c"/>
        <w:ind w:left="720" w:firstLine="0" w:firstLineChars="0"/>
        <w:jc w:val="left"/>
        <w:rPr>
          <w:rFonts w:ascii="黑体" w:hAnsi="黑体" w:eastAsia="黑体"/>
          <w:sz w:val="32"/>
          <w:szCs w:val="32"/>
        </w:rPr>
      </w:pPr>
    </w:p>
    <w:p>
      <w:pPr>
        <w:pStyle w:val="00000c"/>
        <w:ind w:left="720" w:firstLine="0" w:firstLineChars="0"/>
        <w:jc w:val="left"/>
        <w:rPr>
          <w:rFonts w:ascii="黑体" w:hAnsi="黑体" w:eastAsia="黑体"/>
          <w:sz w:val="32"/>
          <w:szCs w:val="32"/>
        </w:rPr>
      </w:pPr>
    </w:p>
    <w:p>
      <w:pPr>
        <w:pStyle w:val="00000c"/>
        <w:ind w:left="720" w:firstLine="0" w:firstLineChars="0"/>
        <w:jc w:val="left"/>
        <w:rPr>
          <w:rFonts w:ascii="黑体" w:hAnsi="黑体" w:eastAsia="黑体"/>
          <w:sz w:val="32"/>
          <w:szCs w:val="32"/>
        </w:rPr>
      </w:pPr>
    </w:p>
    <w:p>
      <w:pPr>
        <w:pStyle w:val="00000c"/>
        <w:numPr>
          <w:ilvl w:val="0"/>
          <w:numId w:val="1"/>
        </w:numPr>
        <w:spacing w:line="500" w:lineRule="exact"/>
        <w:ind w:firstLineChars="0"/>
        <w:jc w:val="left"/>
        <w:rPr>
          <w:rFonts w:ascii="黑体" w:hAnsi="黑体" w:eastAsia="黑体"/>
          <w:sz w:val="32"/>
          <w:szCs w:val="32"/>
        </w:rPr>
      </w:pPr>
      <w:r>
        <w:rPr>
          <w:rFonts w:ascii="黑体" w:hAnsi="黑体" w:eastAsia="黑体"/>
          <w:sz w:val="32"/>
          <w:szCs w:val="32"/>
        </w:rPr>
        <w:t>部门职责</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湖南省煤田地质局第二勘探队成立于1952年4月，隶属于湖南省</w:t>
      </w:r>
      <w:r>
        <w:rPr>
          <w:rFonts w:asciiTheme="minorEastAsia" w:hAnsiTheme="minorEastAsia"/>
          <w:bCs/>
          <w:kern w:val="0"/>
          <w:sz w:val="32"/>
          <w:szCs w:val="32"/>
        </w:rPr>
        <w:t>地质院</w:t>
      </w:r>
      <w:r>
        <w:rPr>
          <w:rFonts w:hint="eastAsia" w:asciiTheme="minorEastAsia" w:hAnsiTheme="minorEastAsia"/>
          <w:bCs/>
          <w:kern w:val="0"/>
          <w:sz w:val="32"/>
          <w:szCs w:val="32"/>
        </w:rPr>
        <w:t>，主要从事地质勘探服务、矿产地质调查、勘查水文地质勘查、环境地质勘查、地质勘探工程， 主要工作职责为：</w:t>
      </w:r>
    </w:p>
    <w:p>
      <w:pPr>
        <w:spacing w:line="5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一）组织本队地质找矿队伍完成国家、省人民政府和有关部门下达的基础性、公益性、战略性地质勘查任务及煤田地质灾害调查评价任务，参与全省煤炭资源的合理开发利用工作，为国家和省提供煤炭资源开发和管理所需的基础信息材料。</w:t>
      </w:r>
    </w:p>
    <w:p>
      <w:pPr>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（二）负责本队所属单位领导班子建设、本队机构编制、人事劳资、劳动和社会保障等工作；指导本队职工队伍建设和精神文明建设。</w:t>
      </w:r>
    </w:p>
    <w:p>
      <w:pPr>
        <w:spacing w:line="500" w:lineRule="exact"/>
        <w:ind/>
        <w:rPr>
          <w:rFonts w:asciiTheme="minorEastAsia" w:hAnsiTheme="minorEastAsia"/>
          <w:bCs/>
          <w:kern w:val="0"/>
          <w:sz w:val="32"/>
          <w:szCs w:val="32"/>
        </w:rPr>
      </w:pPr>
      <w:r>
        <w:rPr>
          <w:rFonts w:hint="eastAsia" w:asciiTheme="minorEastAsia" w:hAnsiTheme="minorEastAsia"/>
          <w:bCs/>
          <w:kern w:val="0"/>
          <w:sz w:val="32"/>
          <w:szCs w:val="32"/>
        </w:rPr>
        <w:t xml:space="preserve"> </w:t>
      </w:r>
      <w:r>
        <w:rPr>
          <w:rFonts w:asciiTheme="minorEastAsia" w:hAnsiTheme="minorEastAsia"/>
          <w:bCs/>
          <w:kern w:val="0"/>
          <w:sz w:val="32"/>
          <w:szCs w:val="32"/>
        </w:rPr>
        <w:t xml:space="preserve">  </w:t>
      </w:r>
      <w:r>
        <w:rPr>
          <w:rFonts w:hint="eastAsia" w:asciiTheme="minorEastAsia" w:hAnsiTheme="minorEastAsia"/>
          <w:bCs/>
          <w:kern w:val="0"/>
          <w:sz w:val="32"/>
          <w:szCs w:val="32"/>
        </w:rPr>
        <w:t xml:space="preserve"> （三）</w:t>
      </w:r>
      <w:r>
        <w:rPr>
          <w:rFonts w:asciiTheme="minorEastAsia" w:hAnsiTheme="minorEastAsia"/>
          <w:bCs/>
          <w:kern w:val="0"/>
          <w:sz w:val="32"/>
          <w:szCs w:val="32"/>
        </w:rPr>
        <w:t xml:space="preserve"> </w:t>
      </w:r>
      <w:r>
        <w:rPr>
          <w:rFonts w:hint="eastAsia" w:asciiTheme="minorEastAsia" w:hAnsiTheme="minorEastAsia"/>
          <w:bCs/>
          <w:kern w:val="0"/>
          <w:sz w:val="32"/>
          <w:szCs w:val="32"/>
        </w:rPr>
        <w:t>承办湖南省地</w:t>
      </w:r>
      <w:r>
        <w:rPr>
          <w:rFonts w:asciiTheme="minorEastAsia" w:hAnsiTheme="minorEastAsia"/>
          <w:bCs/>
          <w:kern w:val="0"/>
          <w:sz w:val="32"/>
          <w:szCs w:val="32"/>
        </w:rPr>
        <w:t>质院</w:t>
      </w:r>
      <w:r>
        <w:rPr>
          <w:rFonts w:hint="eastAsia" w:asciiTheme="minorEastAsia" w:hAnsiTheme="minorEastAsia"/>
          <w:bCs/>
          <w:kern w:val="0"/>
          <w:sz w:val="32"/>
          <w:szCs w:val="32"/>
        </w:rPr>
        <w:t>交办的其他事项。</w:t>
      </w:r>
    </w:p>
    <w:p>
      <w:pPr>
        <w:widowControl/>
        <w:spacing w:line="500" w:lineRule="exact"/>
        <w:ind/>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sz w:val="32"/>
          <w:szCs w:val="32"/>
        </w:rPr>
        <w:t>煤</w:t>
      </w:r>
      <w:r>
        <w:rPr>
          <w:rFonts w:hint="eastAsia" w:asciiTheme="minorEastAsia" w:hAnsiTheme="minorEastAsia"/>
          <w:bCs/>
          <w:kern w:val="0"/>
          <w:sz w:val="32"/>
          <w:szCs w:val="32"/>
        </w:rPr>
        <w:t>田二队无下级预算单位，下设15个科室8经营实体，科室为：行政办公室、党委办公室、财务科、劳人科、经营科、综合治理办、纪检监察室、审计科、总工办、离退休办、安全生产科、株洲基地后勤、涟源基地后勤、设备科、工会；经营实体为：第一工程勘察院、第二工程勘察院、探矿工程院、地质环境工程院、地质技术院、物探院、地质工程公司、矿山地质应急救援分队。</w:t>
      </w:r>
    </w:p>
    <w:p>
      <w:pPr>
        <w:widowControl/>
        <w:spacing w:line="5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（二）决算单位构成。湖南省煤田地质局第二勘探队只有本级，无其他二级预算单位，因此</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20年部门决算汇总公开单位构成包括：湖南省煤田地质局第二勘探队本级。</w:t>
      </w: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jc w:val="center"/>
        <w:rPr>
          <w:rFonts w:ascii="黑体" w:hAnsi="黑体" w:eastAsia="黑体"/>
          <w:sz w:val="28"/>
          <w:szCs w:val="28"/>
        </w:rPr>
      </w:pPr>
    </w:p>
    <w:p>
      <w:pPr>
        <w:ind/>
        <w:rPr>
          <w:sz w:val="72"/>
          <w:szCs w:val="72"/>
        </w:rPr>
      </w:pPr>
    </w:p>
    <w:p>
      <w:pPr>
        <w:ind/>
        <w:jc w:val="center"/>
        <w:rPr>
          <w:rFonts w:ascii="黑体" w:hAnsi="黑体" w:eastAsia="黑体"/>
          <w:b/>
          <w:sz w:val="44"/>
          <w:szCs w:val="44"/>
        </w:rPr>
      </w:pPr>
      <w:r>
        <w:rPr>
          <w:rFonts w:hint="eastAsia" w:ascii="黑体" w:hAnsi="黑体" w:eastAsia="黑体"/>
          <w:b/>
          <w:sz w:val="44"/>
          <w:szCs w:val="44"/>
        </w:rPr>
        <w:t>第二部分</w:t>
      </w:r>
    </w:p>
    <w:p>
      <w:pPr>
        <w:ind/>
        <w:jc w:val="center"/>
        <w:rPr>
          <w:rFonts w:ascii="黑体" w:hAnsi="黑体" w:eastAsia="黑体"/>
          <w:b/>
          <w:sz w:val="44"/>
          <w:szCs w:val="44"/>
        </w:rPr>
      </w:pPr>
    </w:p>
    <w:p>
      <w:pPr>
        <w:ind/>
        <w:jc w:val="center"/>
        <w:rPr>
          <w:rFonts w:ascii="黑体" w:hAnsi="黑体" w:eastAsia="黑体"/>
          <w:b/>
          <w:sz w:val="44"/>
          <w:szCs w:val="44"/>
        </w:rPr>
      </w:pPr>
      <w:r>
        <w:rPr>
          <w:rFonts w:hint="eastAsia" w:ascii="黑体" w:hAnsi="黑体" w:eastAsia="黑体"/>
          <w:b/>
          <w:sz w:val="44"/>
          <w:szCs w:val="44"/>
        </w:rPr>
        <w:t>部门决算表</w:t>
      </w: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jc w:val="center"/>
        <w:rPr>
          <w:sz w:val="72"/>
          <w:szCs w:val="72"/>
        </w:rPr>
        <w:sectPr w:rsidR="004E1600" w:rsidSect="00F606B7">
          <w:pgSz w:w="11906" w:h="16838"/>
          <w:pgMar w:top="1418" w:right="1701" w:bottom="1418" w:left="1701" w:header="851" w:footer="992" w:gutter="0"/>
          <w:cols w:space="425"/>
          <w:docGrid w:type="linesAndChars" w:linePitch="312"/>
        </w:sectPr>
      </w:pPr>
    </w:p>
    <w:tbl>
      <w:tblPr>
        <w:tblW w:w="0" w:type="auto"/>
        <w:jc w:val="center"/>
        <w:tblLook w:firstRow="true" w:lastRow="false" w:firstColumn="true" w:lastColumn="false" w:noHBand="false" w:noVBand="true" w:val="04A0"/>
      </w:tblPr>
      <w:tblGrid>
        <w:gridCol w:w="3736"/>
        <w:gridCol w:w="1044"/>
        <w:gridCol w:w="2260"/>
        <w:gridCol w:w="3925"/>
        <w:gridCol w:w="855"/>
        <w:gridCol w:w="2260"/>
      </w:tblGrid>
      <w:tr>
        <w:trPr>
          <w:wBefore/>
          <w:trHeight w:val="433"/>
          <w:jc w:val="center"/>
        </w:trPr>
        <w:tc>
          <w:tcPr>
            <w:tcW w:w="14080" w:type="dxa"/>
            <w:gridSpan w:val="6"/>
            <w:tcBorders>
              <w:top w:val="nil"/>
              <w:left w:val="nil"/>
              <w:bottom w:val="nil"/>
              <w:right w:val="single" w:color="808080" w:sz="4" w:space="0"/>
            </w:tcBorders>
            <w:shd w:val="clear" w:color="000000" w:fill="FFFFFF"/>
            <w:noWrap/>
            <w:vAlign w:val="center"/>
            <w:hideMark/>
          </w:tcPr>
          <w:p>
            <w:pPr>
              <w:widowControl/>
              <w:spacing w:line="300" w:lineRule="exact"/>
              <w:ind/>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p>
            <w:pPr>
              <w:widowControl/>
              <w:spacing w:line="3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101"/>
          <w:jc w:val="center"/>
        </w:trPr>
        <w:tc>
          <w:tcPr>
            <w:tcW w:w="3736" w:type="dxa"/>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nil"/>
              <w:right w:val="nil"/>
            </w:tcBorders>
            <w:shd w:val="clear" w:color="000000" w:fill="FFFFFF"/>
            <w:noWrap/>
            <w:vAlign w:val="center"/>
          </w:tcPr>
          <w:p>
            <w:pPr>
              <w:widowControl/>
              <w:spacing w:line="260" w:lineRule="exact"/>
              <w:ind/>
              <w:jc w:val="left"/>
              <w:rPr>
                <w:rFonts w:ascii="宋体" w:hAnsi="宋体" w:eastAsia="宋体" w:cs="Arial"/>
                <w:kern w:val="0"/>
                <w:sz w:val="18"/>
                <w:szCs w:val="18"/>
              </w:rPr>
            </w:pPr>
          </w:p>
        </w:tc>
        <w:tc>
          <w:tcPr>
            <w:tcW w:w="2260" w:type="dxa"/>
            <w:tcBorders>
              <w:top w:val="nil"/>
              <w:left w:val="nil"/>
              <w:bottom w:val="nil"/>
              <w:right w:val="nil"/>
            </w:tcBorders>
            <w:shd w:val="clear" w:color="000000" w:fill="FFFFFF"/>
            <w:noWrap/>
            <w:vAlign w:val="center"/>
          </w:tcPr>
          <w:p>
            <w:pPr>
              <w:widowControl/>
              <w:spacing w:line="260" w:lineRule="exact"/>
              <w:ind/>
              <w:jc w:val="left"/>
              <w:rPr>
                <w:rFonts w:ascii="宋体" w:hAnsi="宋体" w:eastAsia="宋体" w:cs="Arial"/>
                <w:kern w:val="0"/>
                <w:sz w:val="18"/>
                <w:szCs w:val="18"/>
              </w:rPr>
            </w:pPr>
          </w:p>
        </w:tc>
        <w:tc>
          <w:tcPr>
            <w:tcW w:w="3925" w:type="dxa"/>
            <w:tcBorders>
              <w:top w:val="nil"/>
              <w:left w:val="nil"/>
              <w:bottom w:val="nil"/>
              <w:right w:val="nil"/>
            </w:tcBorders>
            <w:shd w:val="clear" w:color="000000" w:fill="FFFFFF"/>
            <w:noWrap/>
            <w:vAlign w:val="center"/>
          </w:tcPr>
          <w:p>
            <w:pPr>
              <w:widowControl/>
              <w:spacing w:line="260" w:lineRule="exact"/>
              <w:ind/>
              <w:jc w:val="left"/>
              <w:rPr>
                <w:rFonts w:ascii="宋体" w:hAnsi="宋体" w:eastAsia="宋体" w:cs="Arial"/>
                <w:kern w:val="0"/>
                <w:sz w:val="18"/>
                <w:szCs w:val="18"/>
              </w:rPr>
            </w:pPr>
          </w:p>
        </w:tc>
        <w:tc>
          <w:tcPr>
            <w:tcW w:w="855" w:type="dxa"/>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single" w:color="808080" w:sz="4" w:space="0"/>
            </w:tcBorders>
            <w:shd w:val="clear" w:color="000000" w:fill="FFFFFF"/>
            <w:noWrap/>
            <w:vAlign w:val="center"/>
            <w:hideMark/>
          </w:tcPr>
          <w:p>
            <w:pPr>
              <w:widowControl/>
              <w:spacing w:line="260" w:lineRule="exact"/>
              <w:ind/>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rPr>
          <w:wBefore/>
          <w:trHeight w:val="300"/>
          <w:jc w:val="center"/>
        </w:trPr>
        <w:tc>
          <w:tcPr>
            <w:tcW w:w="3736" w:type="dxa"/>
            <w:tcBorders>
              <w:top w:val="nil"/>
              <w:left w:val="nil"/>
              <w:bottom w:val="single" w:color="808080" w:sz="4" w:space="0"/>
              <w:right w:val="nil"/>
            </w:tcBorders>
            <w:shd w:val="clear" w:color="000000" w:fill="FFFFFF"/>
            <w:noWrap/>
            <w:vAlign w:val="center"/>
            <w:hideMark/>
          </w:tcPr>
          <w:p>
            <w:pPr>
              <w:widowControl/>
              <w:spacing w:line="260" w:lineRule="exact"/>
              <w:ind/>
              <w:jc w:val="left"/>
              <w:rPr>
                <w:rFonts w:ascii="宋体" w:hAnsi="宋体" w:eastAsia="宋体" w:cs="Arial"/>
                <w:color w:val="000000"/>
                <w:kern w:val="0"/>
                <w:sz w:val="22"/>
              </w:rPr>
            </w:pPr>
            <w:r>
              <w:rPr>
                <w:rFonts w:hint="eastAsia" w:ascii="宋体" w:hAnsi="宋体" w:eastAsia="宋体" w:cs="Arial"/>
                <w:color w:val="000000"/>
                <w:kern w:val="0"/>
                <w:sz w:val="22"/>
              </w:rPr>
              <w:t>部门：湖南省煤田地质局第二勘探队</w:t>
            </w:r>
          </w:p>
        </w:tc>
        <w:tc>
          <w:tcPr>
            <w:tcW w:w="1044" w:type="dxa"/>
            <w:tcBorders>
              <w:top w:val="nil"/>
              <w:left w:val="nil"/>
              <w:bottom w:val="single" w:color="808080" w:sz="4" w:space="0"/>
              <w:right w:val="nil"/>
            </w:tcBorders>
            <w:shd w:val="clear" w:color="000000" w:fill="FFFFFF"/>
            <w:noWrap/>
            <w:vAlign w:val="center"/>
            <w:hideMark/>
          </w:tcPr>
          <w:p>
            <w:pPr>
              <w:widowControl/>
              <w:spacing w:line="26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nil"/>
            </w:tcBorders>
            <w:shd w:val="clear" w:color="000000" w:fill="FFFFFF"/>
            <w:noWrap/>
            <w:vAlign w:val="center"/>
            <w:hideMark/>
          </w:tcPr>
          <w:p>
            <w:pPr>
              <w:widowControl/>
              <w:spacing w:line="260" w:lineRule="exact"/>
              <w:ind/>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3925" w:type="dxa"/>
            <w:tcBorders>
              <w:top w:val="nil"/>
              <w:left w:val="nil"/>
              <w:bottom w:val="single" w:color="808080" w:sz="4" w:space="0"/>
              <w:right w:val="nil"/>
            </w:tcBorders>
            <w:shd w:val="clear" w:color="000000" w:fill="FFFFFF"/>
            <w:noWrap/>
            <w:vAlign w:val="center"/>
            <w:hideMark/>
          </w:tcPr>
          <w:p>
            <w:pPr>
              <w:widowControl/>
              <w:spacing w:line="26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5" w:type="dxa"/>
            <w:tcBorders>
              <w:top w:val="nil"/>
              <w:left w:val="nil"/>
              <w:bottom w:val="single" w:color="808080" w:sz="4" w:space="0"/>
              <w:right w:val="nil"/>
            </w:tcBorders>
            <w:shd w:val="clear" w:color="000000" w:fill="FFFFFF"/>
            <w:noWrap/>
            <w:vAlign w:val="center"/>
            <w:hideMark/>
          </w:tcPr>
          <w:p>
            <w:pPr>
              <w:widowControl/>
              <w:spacing w:line="26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single" w:color="808080" w:sz="4" w:space="0"/>
            </w:tcBorders>
            <w:shd w:val="clear" w:color="000000" w:fill="FFFFFF"/>
            <w:noWrap/>
            <w:vAlign w:val="center"/>
            <w:hideMark/>
          </w:tcPr>
          <w:p>
            <w:pPr>
              <w:widowControl/>
              <w:spacing w:line="260" w:lineRule="exact"/>
              <w:ind/>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rPr>
          <w:wBefore/>
          <w:trHeight w:val="252"/>
          <w:jc w:val="center"/>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收入</w:t>
            </w:r>
          </w:p>
        </w:tc>
        <w:tc>
          <w:tcPr>
            <w:tcW w:w="7040" w:type="dxa"/>
            <w:gridSpan w:val="3"/>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支出</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项目</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行次</w:t>
            </w:r>
          </w:p>
        </w:tc>
        <w:tc>
          <w:tcPr>
            <w:tcW w:w="2260"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金额</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项目</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行次</w:t>
            </w:r>
          </w:p>
        </w:tc>
        <w:tc>
          <w:tcPr>
            <w:tcW w:w="2260"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金额</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栏次</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栏次</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一、一般公共预算财政拨款收入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4,725.27</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一、一般公共服务支出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二、政府性基金预算财政拨款收入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二、外交支出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三、国有资本经营预算财政拨款收入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三、国防支出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四、上级补助收入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四、公共安全支出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五、事业收入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五、教育支出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10.00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六、经营收入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4,998.27</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六、科学技术支出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七、附属单位上缴收入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七、文化旅游体育与传媒支出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八、其他收入</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八、社会保障和就业支出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593.00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九、卫生健康支出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262.00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十、节能环保支出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十一、城乡社区支出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十二、农林水支出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十三、交通运输支出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十四、资源勘探工业信息等支出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1,611.58</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十五、商业服务业等支出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十六、金融支出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十七、援助其他地区支出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十八、自然资源海洋气象等支出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49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7,562.64</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19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十九、住房保障支出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260.00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二十、粮油物资储备支出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二十一、国有资本经营预算支出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二十二、灾害防治及应急管理支出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47.10</w:t>
            </w:r>
          </w:p>
        </w:tc>
      </w:tr>
      <w:tr>
        <w:trPr>
          <w:wBefore/>
          <w:trHeight w:val="88"/>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23</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二十三、其他支出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b/>
                <w:bCs/>
                <w:kern w:val="0"/>
                <w:sz w:val="18"/>
                <w:szCs w:val="18"/>
              </w:rPr>
            </w:pPr>
            <w:r>
              <w:rPr>
                <w:rFonts w:hint="eastAsia" w:ascii="宋体" w:hAnsi="宋体" w:eastAsia="宋体" w:cs="Arial"/>
                <w:b/>
                <w:bCs/>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24</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二十四、债务还本支出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25</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二十五、债务付息支出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26</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二十六、抗疫特别国债安排的支出</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b/>
                <w:bCs/>
                <w:kern w:val="0"/>
                <w:sz w:val="18"/>
                <w:szCs w:val="18"/>
              </w:rPr>
            </w:pPr>
            <w:r>
              <w:rPr>
                <w:rFonts w:hint="eastAsia" w:ascii="宋体" w:hAnsi="宋体" w:eastAsia="宋体" w:cs="Arial"/>
                <w:b/>
                <w:bCs/>
                <w:kern w:val="0"/>
                <w:sz w:val="18"/>
                <w:szCs w:val="18"/>
              </w:rPr>
              <w:t>本年收入合计</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27</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9,723.54</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b/>
                <w:bCs/>
                <w:kern w:val="0"/>
                <w:sz w:val="18"/>
                <w:szCs w:val="18"/>
              </w:rPr>
            </w:pPr>
            <w:r>
              <w:rPr>
                <w:rFonts w:hint="eastAsia" w:ascii="宋体" w:hAnsi="宋体" w:eastAsia="宋体" w:cs="Arial"/>
                <w:b/>
                <w:bCs/>
                <w:kern w:val="0"/>
                <w:sz w:val="18"/>
                <w:szCs w:val="18"/>
              </w:rPr>
              <w:t>本年支出合计</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10,346.32</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使用非财政拨款结余</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28</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结余分配</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59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52.10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年初结转和结余</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29</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797.78</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年末结转和结余</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60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122.90</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4"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30</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00" w:lineRule="exact"/>
              <w:ind/>
              <w:jc w:val="center"/>
              <w:rPr>
                <w:rFonts w:ascii="宋体" w:hAnsi="宋体" w:eastAsia="宋体" w:cs="Arial"/>
                <w:kern w:val="0"/>
                <w:sz w:val="18"/>
                <w:szCs w:val="18"/>
              </w:rPr>
            </w:pPr>
            <w:r>
              <w:rPr>
                <w:rFonts w:hint="eastAsia" w:ascii="宋体" w:hAnsi="宋体" w:eastAsia="宋体" w:cs="Arial"/>
                <w:kern w:val="0"/>
                <w:sz w:val="18"/>
                <w:szCs w:val="18"/>
              </w:rPr>
              <w:t>61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00" w:lineRule="exact"/>
              <w:ind/>
              <w:jc w:val="left"/>
              <w:rPr>
                <w:rFonts w:ascii="宋体" w:hAnsi="宋体" w:eastAsia="宋体" w:cs="Arial"/>
                <w:kern w:val="0"/>
                <w:sz w:val="18"/>
                <w:szCs w:val="18"/>
              </w:rPr>
            </w:pPr>
            <w:r>
              <w:rPr>
                <w:rFonts w:hint="eastAsia" w:ascii="宋体" w:hAnsi="宋体" w:eastAsia="宋体" w:cs="Arial"/>
                <w:kern w:val="0"/>
                <w:sz w:val="18"/>
                <w:szCs w:val="18"/>
              </w:rPr>
              <w:t>　</w:t>
            </w:r>
          </w:p>
        </w:tc>
      </w:tr>
      <w:tr>
        <w:trPr>
          <w:wBefore/>
          <w:trHeight w:val="240"/>
          <w:jc w:val="center"/>
        </w:trPr>
        <w:tc>
          <w:tcPr>
            <w:tcW w:w="3736"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b/>
                <w:bCs/>
                <w:kern w:val="0"/>
                <w:sz w:val="18"/>
                <w:szCs w:val="18"/>
              </w:rPr>
            </w:pPr>
            <w:r>
              <w:rPr>
                <w:rFonts w:hint="eastAsia" w:ascii="宋体" w:hAnsi="宋体" w:eastAsia="宋体" w:cs="Arial"/>
                <w:b/>
                <w:bCs/>
                <w:kern w:val="0"/>
                <w:sz w:val="18"/>
                <w:szCs w:val="18"/>
              </w:rPr>
              <w:t>总计</w:t>
            </w:r>
          </w:p>
        </w:tc>
        <w:tc>
          <w:tcPr>
            <w:tcW w:w="1044" w:type="dxa"/>
            <w:tcBorders>
              <w:top w:val="nil"/>
              <w:left w:val="nil"/>
              <w:bottom w:val="single" w:color="000000" w:sz="12" w:space="0"/>
              <w:right w:val="single" w:color="000000" w:sz="4" w:space="0"/>
            </w:tcBorders>
            <w:shd w:val="clear" w:color="000000" w:fill="C0C0C0"/>
            <w:noWrap/>
            <w:vAlign w:val="center"/>
            <w:hideMark/>
          </w:tcPr>
          <w:p>
            <w:pPr>
              <w:widowControl/>
              <w:spacing w:line="240" w:lineRule="exact"/>
              <w:ind/>
              <w:jc w:val="center"/>
              <w:rPr>
                <w:rFonts w:ascii="宋体" w:hAnsi="宋体" w:eastAsia="宋体" w:cs="Arial"/>
                <w:kern w:val="0"/>
                <w:sz w:val="18"/>
                <w:szCs w:val="18"/>
              </w:rPr>
            </w:pPr>
            <w:r>
              <w:rPr>
                <w:rFonts w:hint="eastAsia" w:ascii="宋体" w:hAnsi="宋体" w:eastAsia="宋体" w:cs="Arial"/>
                <w:kern w:val="0"/>
                <w:sz w:val="18"/>
                <w:szCs w:val="18"/>
              </w:rPr>
              <w:t>31</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18"/>
                <w:szCs w:val="18"/>
              </w:rPr>
            </w:pPr>
            <w:r>
              <w:rPr>
                <w:rFonts w:hint="eastAsia" w:ascii="宋体" w:hAnsi="宋体" w:eastAsia="宋体" w:cs="Arial"/>
                <w:kern w:val="0"/>
                <w:sz w:val="18"/>
                <w:szCs w:val="18"/>
              </w:rPr>
              <w:t>10,521.32</w:t>
            </w:r>
          </w:p>
        </w:tc>
        <w:tc>
          <w:tcPr>
            <w:tcW w:w="3925"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b/>
                <w:bCs/>
                <w:kern w:val="0"/>
                <w:sz w:val="18"/>
                <w:szCs w:val="18"/>
              </w:rPr>
            </w:pPr>
            <w:r>
              <w:rPr>
                <w:rFonts w:hint="eastAsia" w:ascii="宋体" w:hAnsi="宋体" w:eastAsia="宋体" w:cs="Arial"/>
                <w:b/>
                <w:bCs/>
                <w:kern w:val="0"/>
                <w:sz w:val="18"/>
                <w:szCs w:val="18"/>
              </w:rPr>
              <w:t>总计</w:t>
            </w:r>
          </w:p>
        </w:tc>
        <w:tc>
          <w:tcPr>
            <w:tcW w:w="855"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center"/>
              <w:rPr>
                <w:rFonts w:ascii="宋体" w:hAnsi="宋体" w:eastAsia="宋体" w:cs="Arial"/>
                <w:kern w:val="0"/>
                <w:sz w:val="18"/>
                <w:szCs w:val="18"/>
              </w:rPr>
            </w:pPr>
            <w:r>
              <w:rPr>
                <w:rFonts w:hint="eastAsia" w:ascii="宋体" w:hAnsi="宋体" w:eastAsia="宋体" w:cs="Arial"/>
                <w:kern w:val="0"/>
                <w:sz w:val="18"/>
                <w:szCs w:val="18"/>
              </w:rPr>
              <w:t>62</w:t>
            </w:r>
          </w:p>
        </w:tc>
        <w:tc>
          <w:tcPr>
            <w:tcW w:w="226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18"/>
                <w:szCs w:val="18"/>
              </w:rPr>
            </w:pPr>
            <w:r>
              <w:rPr>
                <w:rFonts w:hint="eastAsia" w:ascii="宋体" w:hAnsi="宋体" w:eastAsia="宋体" w:cs="Arial"/>
                <w:kern w:val="0"/>
                <w:sz w:val="18"/>
                <w:szCs w:val="18"/>
              </w:rPr>
              <w:t>10,521.32</w:t>
            </w:r>
          </w:p>
        </w:tc>
      </w:tr>
      <w:tr>
        <w:trPr>
          <w:wBefore/>
          <w:trHeight w:val="300"/>
          <w:jc w:val="center"/>
        </w:trPr>
        <w:tc>
          <w:tcPr>
            <w:tcW w:w="14080" w:type="dxa"/>
            <w:gridSpan w:val="6"/>
            <w:tcBorders>
              <w:top w:val="nil"/>
              <w:left w:val="nil"/>
              <w:bottom w:val="nil"/>
              <w:right w:val="nil"/>
            </w:tcBorders>
            <w:shd w:val="clear" w:color="000000" w:fill="FFFFFF"/>
            <w:noWrap/>
            <w:vAlign w:val="center"/>
            <w:hideMark/>
          </w:tcPr>
          <w:p>
            <w:pPr>
              <w:widowControl/>
              <w:spacing w:line="240" w:lineRule="exact"/>
              <w:ind/>
              <w:jc w:val="left"/>
              <w:rPr>
                <w:rFonts w:ascii="宋体" w:hAnsi="宋体" w:eastAsia="宋体" w:cs="Arial"/>
                <w:kern w:val="0"/>
                <w:sz w:val="18"/>
                <w:szCs w:val="18"/>
              </w:rPr>
            </w:pPr>
            <w:r>
              <w:rPr>
                <w:rFonts w:hint="eastAsia" w:ascii="宋体" w:hAnsi="宋体" w:eastAsia="宋体" w:cs="Arial"/>
                <w:kern w:val="0"/>
                <w:sz w:val="18"/>
                <w:szCs w:val="18"/>
              </w:rPr>
              <w:t>注：本表反映部门本年度的总收支和年末结转结余情况。本套报表金额单位转换时可能存在尾数误差。</w:t>
            </w:r>
          </w:p>
        </w:tc>
      </w:tr>
    </w:tbl>
    <w:p>
      <w:pPr>
        <w:spacing w:line="600" w:lineRule="exact"/>
        <w:ind/>
        <w:jc w:val="center"/>
        <w:rPr>
          <w:b/>
          <w:sz w:val="44"/>
          <w:szCs w:val="44"/>
        </w:rPr>
      </w:pPr>
      <w:r>
        <w:rPr>
          <w:rFonts w:hint="eastAsia"/>
          <w:b/>
          <w:sz w:val="44"/>
          <w:szCs w:val="44"/>
        </w:rPr>
        <w:t>收入决算表</w:t>
      </w:r>
    </w:p>
    <w:p>
      <w:pPr>
        <w:spacing w:line="260" w:lineRule="exact"/>
        <w:ind w:right="960"/>
        <w:jc w:val="right"/>
        <w:rPr>
          <w:rFonts w:asciiTheme="minorEastAsia" w:hAnsiTheme="minorEastAsia"/>
          <w:sz w:val="24"/>
          <w:szCs w:val="24"/>
        </w:rPr>
      </w:pPr>
      <w:r>
        <w:rPr>
          <w:rFonts w:hint="eastAsia" w:asciiTheme="minorEastAsia" w:hAnsiTheme="minorEastAsia"/>
          <w:sz w:val="24"/>
          <w:szCs w:val="24"/>
        </w:rPr>
        <w:t>公开02表</w:t>
      </w:r>
    </w:p>
    <w:p>
      <w:pPr>
        <w:spacing w:line="26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1020"/>
        <w:gridCol w:w="3920"/>
        <w:gridCol w:w="1440"/>
        <w:gridCol w:w="1518"/>
        <w:gridCol w:w="1202"/>
        <w:gridCol w:w="1260"/>
        <w:gridCol w:w="1360"/>
        <w:gridCol w:w="1140"/>
        <w:gridCol w:w="1133"/>
      </w:tblGrid>
      <w:tr>
        <w:trPr>
          <w:wBefore/>
          <w:trHeight w:val="300"/>
          <w:jc w:val="center"/>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44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518"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202"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26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36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14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133"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rPr>
          <w:wBefore/>
          <w:trHeight w:val="312"/>
          <w:jc w:val="center"/>
        </w:trPr>
        <w:tc>
          <w:tcPr>
            <w:tcW w:w="1020"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518"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0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3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312"/>
          <w:jc w:val="center"/>
        </w:trPr>
        <w:tc>
          <w:tcPr>
            <w:tcW w:w="1020"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518"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0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3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312"/>
          <w:jc w:val="center"/>
        </w:trPr>
        <w:tc>
          <w:tcPr>
            <w:tcW w:w="1020"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518"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0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2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3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206"/>
          <w:jc w:val="center"/>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44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518"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02"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6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6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4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133"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7</w:t>
            </w:r>
          </w:p>
        </w:tc>
      </w:tr>
      <w:tr>
        <w:trPr>
          <w:wBefore/>
          <w:trHeight w:val="149"/>
          <w:jc w:val="center"/>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9,723.54</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4,725.27</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4,998.27</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4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863.80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863.80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175"/>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863.80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863.80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863.80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863.80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7,614.74</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2,616.47</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4,998.27</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7,614.74</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2,616.47</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4,998.27</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7,569.74</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2,571.47</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4,998.27</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1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39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120.00</w:t>
            </w:r>
          </w:p>
        </w:tc>
        <w:tc>
          <w:tcPr>
            <w:tcW w:w="1518"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120.00</w:t>
            </w:r>
          </w:p>
        </w:tc>
        <w:tc>
          <w:tcPr>
            <w:tcW w:w="120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3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300"/>
          <w:jc w:val="center"/>
        </w:trPr>
        <w:tc>
          <w:tcPr>
            <w:tcW w:w="1020"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392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120.00</w:t>
            </w:r>
          </w:p>
        </w:tc>
        <w:tc>
          <w:tcPr>
            <w:tcW w:w="1518"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120.00</w:t>
            </w:r>
          </w:p>
        </w:tc>
        <w:tc>
          <w:tcPr>
            <w:tcW w:w="120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6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300"/>
          <w:jc w:val="center"/>
        </w:trPr>
        <w:tc>
          <w:tcPr>
            <w:tcW w:w="13993" w:type="dxa"/>
            <w:gridSpan w:val="9"/>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spacing w:line="600" w:lineRule="exact"/>
        <w:ind/>
        <w:jc w:val="center"/>
        <w:rPr>
          <w:b/>
          <w:sz w:val="44"/>
          <w:szCs w:val="44"/>
        </w:rPr>
      </w:pPr>
      <w:r>
        <w:rPr>
          <w:rFonts w:hint="eastAsia"/>
          <w:b/>
          <w:sz w:val="44"/>
          <w:szCs w:val="44"/>
        </w:rPr>
        <w:t>支出决算表</w:t>
      </w:r>
    </w:p>
    <w:p>
      <w:pPr>
        <w:spacing w:line="260" w:lineRule="exact"/>
        <w:ind w:right="960"/>
        <w:jc w:val="right"/>
        <w:rPr>
          <w:rFonts w:asciiTheme="minorEastAsia" w:hAnsiTheme="minorEastAsia"/>
          <w:sz w:val="24"/>
          <w:szCs w:val="24"/>
        </w:rPr>
      </w:pPr>
      <w:r>
        <w:rPr>
          <w:rFonts w:hint="eastAsia" w:asciiTheme="minorEastAsia" w:hAnsiTheme="minorEastAsia"/>
          <w:sz w:val="24"/>
          <w:szCs w:val="24"/>
        </w:rPr>
        <w:t>公开03表</w:t>
      </w:r>
    </w:p>
    <w:p>
      <w:pPr>
        <w:spacing w:line="26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1915"/>
        <w:gridCol w:w="3460"/>
        <w:gridCol w:w="1440"/>
        <w:gridCol w:w="1180"/>
        <w:gridCol w:w="1380"/>
        <w:gridCol w:w="1480"/>
        <w:gridCol w:w="1193"/>
        <w:gridCol w:w="2182"/>
      </w:tblGrid>
      <w:tr>
        <w:trPr>
          <w:wBefore/>
          <w:trHeight w:val="300"/>
          <w:jc w:val="center"/>
        </w:trPr>
        <w:tc>
          <w:tcPr>
            <w:tcW w:w="5375"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44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18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38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48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193"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2182"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rPr>
          <w:wBefore/>
          <w:trHeight w:val="312"/>
          <w:jc w:val="center"/>
        </w:trPr>
        <w:tc>
          <w:tcPr>
            <w:tcW w:w="1915"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460" w:type="dxa"/>
            <w:vMerge w:val="restart"/>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9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18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312"/>
          <w:jc w:val="center"/>
        </w:trPr>
        <w:tc>
          <w:tcPr>
            <w:tcW w:w="1915"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34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9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18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312"/>
          <w:jc w:val="center"/>
        </w:trPr>
        <w:tc>
          <w:tcPr>
            <w:tcW w:w="1915"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346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4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3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48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1193"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182"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282"/>
          <w:jc w:val="center"/>
        </w:trPr>
        <w:tc>
          <w:tcPr>
            <w:tcW w:w="5375"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44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8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8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80"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93"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182" w:type="dxa"/>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6</w:t>
            </w:r>
          </w:p>
        </w:tc>
      </w:tr>
      <w:tr>
        <w:trPr>
          <w:wBefore/>
          <w:trHeight w:val="282"/>
          <w:jc w:val="center"/>
        </w:trPr>
        <w:tc>
          <w:tcPr>
            <w:tcW w:w="5375"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10,346.32</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4,893.87</w:t>
            </w:r>
          </w:p>
        </w:tc>
        <w:tc>
          <w:tcPr>
            <w:tcW w:w="13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506.28</w:t>
            </w:r>
          </w:p>
        </w:tc>
        <w:tc>
          <w:tcPr>
            <w:tcW w:w="14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4,946.17</w:t>
            </w:r>
          </w:p>
        </w:tc>
        <w:tc>
          <w:tcPr>
            <w:tcW w:w="218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tcPr>
          <w:p>
            <w:pPr>
              <w:widowControl/>
              <w:spacing w:line="260" w:lineRule="exact"/>
              <w:ind/>
              <w:jc w:val="left"/>
              <w:rPr>
                <w:rFonts w:ascii="宋体" w:hAnsi="宋体" w:eastAsia="宋体" w:cs="Arial"/>
                <w:b/>
                <w:bCs/>
                <w:kern w:val="0"/>
                <w:sz w:val="20"/>
                <w:szCs w:val="20"/>
              </w:rPr>
            </w:pPr>
          </w:p>
        </w:tc>
        <w:tc>
          <w:tcPr>
            <w:tcW w:w="3460"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left"/>
              <w:rPr>
                <w:rFonts w:ascii="宋体" w:hAnsi="宋体" w:eastAsia="宋体" w:cs="Arial"/>
                <w:b/>
                <w:bCs/>
                <w:kern w:val="0"/>
                <w:sz w:val="20"/>
                <w:szCs w:val="20"/>
              </w:rPr>
            </w:pPr>
          </w:p>
        </w:tc>
        <w:tc>
          <w:tcPr>
            <w:tcW w:w="1440"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c>
          <w:tcPr>
            <w:tcW w:w="1180"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c>
          <w:tcPr>
            <w:tcW w:w="1380"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c>
          <w:tcPr>
            <w:tcW w:w="1480"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c>
          <w:tcPr>
            <w:tcW w:w="1193"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c>
          <w:tcPr>
            <w:tcW w:w="2182" w:type="dxa"/>
            <w:tcBorders>
              <w:top w:val="nil"/>
              <w:left w:val="nil"/>
              <w:bottom w:val="single" w:color="000000" w:sz="4" w:space="0"/>
              <w:right w:val="single" w:color="000000" w:sz="4" w:space="0"/>
            </w:tcBorders>
            <w:shd w:val="clear" w:color="000000" w:fill="C0C0C0"/>
            <w:noWrap/>
            <w:vAlign w:val="center"/>
          </w:tcPr>
          <w:p>
            <w:pPr>
              <w:widowControl/>
              <w:spacing w:line="260" w:lineRule="exact"/>
              <w:ind/>
              <w:jc w:val="right"/>
              <w:rPr>
                <w:rFonts w:ascii="宋体" w:hAnsi="宋体" w:eastAsia="宋体" w:cs="Arial"/>
                <w:b/>
                <w:bCs/>
                <w:kern w:val="0"/>
                <w:sz w:val="20"/>
                <w:szCs w:val="20"/>
              </w:rPr>
            </w:pP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2050803</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 xml:space="preserve">  培训支出</w:t>
            </w:r>
          </w:p>
        </w:tc>
        <w:tc>
          <w:tcPr>
            <w:tcW w:w="144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1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13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机关事业单位基本养老保险缴费支出</w:t>
            </w:r>
          </w:p>
        </w:tc>
        <w:tc>
          <w:tcPr>
            <w:tcW w:w="144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1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3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44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1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3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1,611.58</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1,221.40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390.18</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1,611.58</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1,221.40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390.18</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44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1,611.58</w:t>
            </w:r>
          </w:p>
        </w:tc>
        <w:tc>
          <w:tcPr>
            <w:tcW w:w="11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1,221.40</w:t>
            </w:r>
          </w:p>
        </w:tc>
        <w:tc>
          <w:tcPr>
            <w:tcW w:w="13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390.18</w:t>
            </w:r>
          </w:p>
        </w:tc>
        <w:tc>
          <w:tcPr>
            <w:tcW w:w="148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7,562.64</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2,547.47</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69.00</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4,946.17</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7,562.64</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2,547.47</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69.00</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4,946.17</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14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7,517.64</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2,547.47</w:t>
            </w:r>
          </w:p>
        </w:tc>
        <w:tc>
          <w:tcPr>
            <w:tcW w:w="13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14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4,946.17</w:t>
            </w:r>
          </w:p>
        </w:tc>
        <w:tc>
          <w:tcPr>
            <w:tcW w:w="218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3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346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144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11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3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148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93"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182"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rPr>
          <w:wBefore/>
          <w:trHeight w:val="282"/>
          <w:jc w:val="center"/>
        </w:trPr>
        <w:tc>
          <w:tcPr>
            <w:tcW w:w="1915"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3460"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144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c>
          <w:tcPr>
            <w:tcW w:w="14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93"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182"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82"/>
          <w:jc w:val="center"/>
        </w:trPr>
        <w:tc>
          <w:tcPr>
            <w:tcW w:w="14230" w:type="dxa"/>
            <w:gridSpan w:val="8"/>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spacing w:line="600" w:lineRule="exact"/>
        <w:ind/>
        <w:jc w:val="center"/>
        <w:rPr>
          <w:b/>
          <w:sz w:val="44"/>
          <w:szCs w:val="44"/>
        </w:rPr>
      </w:pPr>
      <w:r>
        <w:rPr>
          <w:rFonts w:hint="eastAsia"/>
          <w:b/>
          <w:sz w:val="44"/>
          <w:szCs w:val="44"/>
        </w:rPr>
        <w:t>财政拨款收入支出决算总表</w:t>
      </w:r>
    </w:p>
    <w:p>
      <w:pPr>
        <w:spacing w:line="260" w:lineRule="exact"/>
        <w:ind w:right="960"/>
        <w:jc w:val="right"/>
        <w:rPr>
          <w:rFonts w:asciiTheme="minorEastAsia" w:hAnsiTheme="minorEastAsia"/>
          <w:sz w:val="24"/>
          <w:szCs w:val="24"/>
        </w:rPr>
      </w:pPr>
      <w:r>
        <w:rPr>
          <w:rFonts w:hint="eastAsia" w:asciiTheme="minorEastAsia" w:hAnsiTheme="minorEastAsia"/>
          <w:sz w:val="24"/>
          <w:szCs w:val="24"/>
        </w:rPr>
        <w:t>公开04表</w:t>
      </w:r>
    </w:p>
    <w:p>
      <w:pPr>
        <w:spacing w:line="26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true" w:val="04A0"/>
      </w:tblPr>
      <w:tblGrid>
        <w:gridCol w:w="2835"/>
        <w:gridCol w:w="709"/>
        <w:gridCol w:w="1276"/>
        <w:gridCol w:w="3543"/>
        <w:gridCol w:w="701"/>
        <w:gridCol w:w="1095"/>
        <w:gridCol w:w="1510"/>
        <w:gridCol w:w="1049"/>
        <w:gridCol w:w="1339"/>
      </w:tblGrid>
      <w:tr>
        <w:trPr>
          <w:wBefore/>
          <w:trHeight w:val="300"/>
        </w:trPr>
        <w:tc>
          <w:tcPr>
            <w:tcW w:w="4820" w:type="dxa"/>
            <w:gridSpan w:val="3"/>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9237" w:type="dxa"/>
            <w:gridSpan w:val="6"/>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rPr>
          <w:wBefore/>
          <w:trHeight w:val="400"/>
        </w:trPr>
        <w:tc>
          <w:tcPr>
            <w:tcW w:w="2835" w:type="dxa"/>
            <w:vMerge w:val="restart"/>
            <w:shd w:val="clear" w:color="000000" w:fill="C0C0C0"/>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9"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276"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543" w:type="dxa"/>
            <w:vMerge w:val="restart"/>
            <w:shd w:val="clear" w:color="000000" w:fill="C0C0C0"/>
            <w:vAlign w:val="bottom"/>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1"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95" w:type="dxa"/>
            <w:vMerge w:val="restart"/>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510"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049"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39" w:type="dxa"/>
            <w:vMerge w:val="restart"/>
            <w:shd w:val="clear" w:color="000000" w:fill="C0C0C0"/>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rPr>
          <w:wBefore/>
          <w:trHeight w:val="400"/>
        </w:trPr>
        <w:tc>
          <w:tcPr>
            <w:tcW w:w="2835" w:type="dxa"/>
            <w:vMerge w:val="continue"/>
            <w:vAlign w:val="center"/>
            <w:hideMark/>
          </w:tcPr>
          <w:p>
            <w:pPr>
              <w:widowControl/>
              <w:spacing w:line="400" w:lineRule="exact"/>
              <w:jc w:val="left"/>
              <w:rPr>
                <w:rFonts w:ascii="宋体" w:hAnsi="宋体" w:eastAsia="宋体" w:cs="Arial"/>
                <w:kern w:val="0"/>
                <w:sz w:val="20"/>
                <w:szCs w:val="20"/>
              </w:rPr>
            </w:pPr>
          </w:p>
        </w:tc>
        <w:tc>
          <w:tcPr>
            <w:tcW w:w="709" w:type="dxa"/>
            <w:vMerge w:val="continue"/>
            <w:vAlign w:val="center"/>
            <w:hideMark/>
          </w:tcPr>
          <w:p>
            <w:pPr>
              <w:widowControl/>
              <w:spacing w:line="400" w:lineRule="exact"/>
              <w:jc w:val="left"/>
              <w:rPr>
                <w:rFonts w:ascii="宋体" w:hAnsi="宋体" w:eastAsia="宋体" w:cs="Arial"/>
                <w:kern w:val="0"/>
                <w:sz w:val="20"/>
                <w:szCs w:val="20"/>
              </w:rPr>
            </w:pPr>
          </w:p>
        </w:tc>
        <w:tc>
          <w:tcPr>
            <w:tcW w:w="1276" w:type="dxa"/>
            <w:vMerge w:val="continue"/>
            <w:vAlign w:val="center"/>
            <w:hideMark/>
          </w:tcPr>
          <w:p>
            <w:pPr>
              <w:widowControl/>
              <w:spacing w:line="400" w:lineRule="exact"/>
              <w:jc w:val="left"/>
              <w:rPr>
                <w:rFonts w:ascii="宋体" w:hAnsi="宋体" w:eastAsia="宋体" w:cs="Arial"/>
                <w:kern w:val="0"/>
                <w:sz w:val="20"/>
                <w:szCs w:val="20"/>
              </w:rPr>
            </w:pPr>
          </w:p>
        </w:tc>
        <w:tc>
          <w:tcPr>
            <w:tcW w:w="3543" w:type="dxa"/>
            <w:vMerge w:val="continue"/>
            <w:vAlign w:val="center"/>
            <w:hideMark/>
          </w:tcPr>
          <w:p>
            <w:pPr>
              <w:widowControl/>
              <w:spacing w:line="400" w:lineRule="exact"/>
              <w:jc w:val="left"/>
              <w:rPr>
                <w:rFonts w:ascii="宋体" w:hAnsi="宋体" w:eastAsia="宋体" w:cs="Arial"/>
                <w:kern w:val="0"/>
                <w:sz w:val="20"/>
                <w:szCs w:val="20"/>
              </w:rPr>
            </w:pPr>
          </w:p>
        </w:tc>
        <w:tc>
          <w:tcPr>
            <w:tcW w:w="701" w:type="dxa"/>
            <w:vMerge w:val="continue"/>
            <w:vAlign w:val="center"/>
            <w:hideMark/>
          </w:tcPr>
          <w:p>
            <w:pPr>
              <w:widowControl/>
              <w:spacing w:line="400" w:lineRule="exact"/>
              <w:jc w:val="left"/>
              <w:rPr>
                <w:rFonts w:ascii="宋体" w:hAnsi="宋体" w:eastAsia="宋体" w:cs="Arial"/>
                <w:kern w:val="0"/>
                <w:sz w:val="20"/>
                <w:szCs w:val="20"/>
              </w:rPr>
            </w:pPr>
          </w:p>
        </w:tc>
        <w:tc>
          <w:tcPr>
            <w:tcW w:w="1095" w:type="dxa"/>
            <w:vMerge w:val="continue"/>
            <w:vAlign w:val="center"/>
            <w:hideMark/>
          </w:tcPr>
          <w:p>
            <w:pPr>
              <w:widowControl/>
              <w:spacing w:line="400" w:lineRule="exact"/>
              <w:jc w:val="left"/>
              <w:rPr>
                <w:rFonts w:ascii="宋体" w:hAnsi="宋体" w:eastAsia="宋体" w:cs="Arial"/>
                <w:kern w:val="0"/>
                <w:sz w:val="20"/>
                <w:szCs w:val="20"/>
              </w:rPr>
            </w:pPr>
          </w:p>
        </w:tc>
        <w:tc>
          <w:tcPr>
            <w:tcW w:w="1510" w:type="dxa"/>
            <w:vMerge w:val="continue"/>
            <w:vAlign w:val="center"/>
            <w:hideMark/>
          </w:tcPr>
          <w:p>
            <w:pPr>
              <w:widowControl/>
              <w:spacing w:line="400" w:lineRule="exact"/>
              <w:jc w:val="left"/>
              <w:rPr>
                <w:rFonts w:ascii="宋体" w:hAnsi="宋体" w:eastAsia="宋体" w:cs="Arial"/>
                <w:kern w:val="0"/>
                <w:sz w:val="20"/>
                <w:szCs w:val="20"/>
              </w:rPr>
            </w:pPr>
          </w:p>
        </w:tc>
        <w:tc>
          <w:tcPr>
            <w:tcW w:w="1049" w:type="dxa"/>
            <w:vMerge w:val="continue"/>
            <w:vAlign w:val="center"/>
            <w:hideMark/>
          </w:tcPr>
          <w:p>
            <w:pPr>
              <w:widowControl/>
              <w:spacing w:line="400" w:lineRule="exact"/>
              <w:jc w:val="left"/>
              <w:rPr>
                <w:rFonts w:ascii="宋体" w:hAnsi="宋体" w:eastAsia="宋体" w:cs="Arial"/>
                <w:kern w:val="0"/>
                <w:sz w:val="20"/>
                <w:szCs w:val="20"/>
              </w:rPr>
            </w:pPr>
          </w:p>
        </w:tc>
        <w:tc>
          <w:tcPr>
            <w:tcW w:w="1339" w:type="dxa"/>
            <w:vMerge w:val="continue"/>
            <w:vAlign w:val="center"/>
            <w:hideMark/>
          </w:tcPr>
          <w:p>
            <w:pPr>
              <w:widowControl/>
              <w:spacing w:line="400" w:lineRule="exact"/>
              <w:jc w:val="left"/>
              <w:rPr>
                <w:rFonts w:ascii="宋体" w:hAnsi="宋体" w:eastAsia="宋体" w:cs="Arial"/>
                <w:kern w:val="0"/>
                <w:sz w:val="20"/>
                <w:szCs w:val="20"/>
              </w:rPr>
            </w:pP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543" w:type="dxa"/>
            <w:shd w:val="clear" w:color="000000" w:fill="C0C0C0"/>
            <w:noWrap/>
            <w:vAlign w:val="bottom"/>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95"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10"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4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3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4,725.27</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1,611.58</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1,611.58</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2,616.47</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2,616.47</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4,725.27</w:t>
            </w:r>
          </w:p>
        </w:tc>
        <w:tc>
          <w:tcPr>
            <w:tcW w:w="3543" w:type="dxa"/>
            <w:shd w:val="clear" w:color="000000" w:fill="C0C0C0"/>
            <w:noWrap/>
            <w:vAlign w:val="center"/>
            <w:hideMark/>
          </w:tcPr>
          <w:p>
            <w:pPr>
              <w:widowControl/>
              <w:spacing w:line="400" w:lineRule="exact"/>
              <w:ind/>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5,400.15</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5,400.15</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797.78</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122.90</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122.90</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797.78</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543" w:type="dxa"/>
            <w:shd w:val="clear" w:color="000000" w:fill="C0C0C0"/>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2835" w:type="dxa"/>
            <w:shd w:val="clear" w:color="000000" w:fill="C0C0C0"/>
            <w:noWrap/>
            <w:vAlign w:val="center"/>
            <w:hideMark/>
          </w:tcPr>
          <w:p>
            <w:pPr>
              <w:widowControl/>
              <w:spacing w:line="40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9"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276"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5,523.05</w:t>
            </w:r>
          </w:p>
        </w:tc>
        <w:tc>
          <w:tcPr>
            <w:tcW w:w="3543" w:type="dxa"/>
            <w:shd w:val="clear" w:color="000000" w:fill="C0C0C0"/>
            <w:noWrap/>
            <w:vAlign w:val="center"/>
            <w:hideMark/>
          </w:tcPr>
          <w:p>
            <w:pPr>
              <w:widowControl/>
              <w:spacing w:line="40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1" w:type="dxa"/>
            <w:shd w:val="clear" w:color="000000" w:fill="C0C0C0"/>
            <w:noWrap/>
            <w:vAlign w:val="center"/>
            <w:hideMark/>
          </w:tcPr>
          <w:p>
            <w:pPr>
              <w:widowControl/>
              <w:spacing w:line="400" w:lineRule="exact"/>
              <w:ind/>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1095"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5,523.05</w:t>
            </w:r>
          </w:p>
        </w:tc>
        <w:tc>
          <w:tcPr>
            <w:tcW w:w="1510"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5,523.05</w:t>
            </w:r>
          </w:p>
        </w:tc>
        <w:tc>
          <w:tcPr>
            <w:tcW w:w="104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9" w:type="dxa"/>
            <w:shd w:val="clear" w:color="000000" w:fill="FFFFFF"/>
            <w:noWrap/>
            <w:vAlign w:val="center"/>
            <w:hideMark/>
          </w:tcPr>
          <w:p>
            <w:pPr>
              <w:widowControl/>
              <w:spacing w:line="40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trPr>
        <w:tc>
          <w:tcPr>
            <w:tcW w:w="12718" w:type="dxa"/>
            <w:gridSpan w:val="8"/>
            <w:shd w:val="clear" w:color="000000" w:fill="FFFFFF"/>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339" w:type="dxa"/>
            <w:shd w:val="clear" w:color="000000" w:fill="FFFFFF"/>
            <w:noWrap/>
            <w:vAlign w:val="center"/>
            <w:hideMark/>
          </w:tcPr>
          <w:p>
            <w:pPr>
              <w:widowControl/>
              <w:spacing w:line="40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r>
    </w:tbl>
    <w:p>
      <w:pPr>
        <w:spacing w:line="260" w:lineRule="exact"/>
        <w:ind/>
        <w:jc w:val="center"/>
        <w:rPr>
          <w:rFonts w:asciiTheme="minorEastAsia" w:hAnsiTheme="minorEastAsia"/>
          <w:sz w:val="24"/>
          <w:szCs w:val="24"/>
        </w:rPr>
      </w:pPr>
    </w:p>
    <w:p>
      <w:pPr>
        <w:spacing w:line="300" w:lineRule="exact"/>
        <w:ind/>
        <w:jc w:val="center"/>
        <w:rPr>
          <w:rFonts w:asciiTheme="minorEastAsia" w:hAnsiTheme="minorEastAsia"/>
          <w:sz w:val="24"/>
          <w:szCs w:val="24"/>
        </w:rPr>
      </w:pPr>
    </w:p>
    <w:p>
      <w:pPr>
        <w:ind/>
        <w:jc w:val="center"/>
        <w:rPr>
          <w:rFonts w:asciiTheme="minorEastAsia" w:hAnsiTheme="minorEastAsia"/>
          <w:sz w:val="24"/>
          <w:szCs w:val="24"/>
        </w:rPr>
      </w:pPr>
    </w:p>
    <w:p>
      <w:pPr>
        <w:ind/>
        <w:jc w:val="center"/>
        <w:rPr>
          <w:sz w:val="72"/>
          <w:szCs w:val="72"/>
        </w:rPr>
      </w:pPr>
    </w:p>
    <w:p>
      <w:pPr>
        <w:ind/>
        <w:jc w:val="center"/>
        <w:rPr>
          <w:sz w:val="72"/>
          <w:szCs w:val="72"/>
        </w:rPr>
      </w:pPr>
    </w:p>
    <w:p>
      <w:pPr>
        <w:spacing w:line="520" w:lineRule="exact"/>
        <w:ind/>
        <w:rPr>
          <w:rFonts w:hint="eastAsia"/>
          <w:b/>
          <w:sz w:val="44"/>
          <w:szCs w:val="44"/>
        </w:rPr>
      </w:pPr>
    </w:p>
    <w:p>
      <w:pPr>
        <w:spacing w:line="520" w:lineRule="exact"/>
        <w:ind/>
        <w:rPr>
          <w:b/>
          <w:sz w:val="44"/>
          <w:szCs w:val="44"/>
        </w:rPr>
      </w:pPr>
    </w:p>
    <w:p>
      <w:pPr>
        <w:spacing w:line="400" w:lineRule="exact"/>
        <w:ind/>
        <w:jc w:val="center"/>
        <w:rPr>
          <w:b/>
          <w:sz w:val="44"/>
          <w:szCs w:val="44"/>
        </w:rPr>
      </w:pPr>
      <w:r>
        <w:rPr>
          <w:rFonts w:hint="eastAsia"/>
          <w:b/>
          <w:sz w:val="44"/>
          <w:szCs w:val="44"/>
        </w:rPr>
        <w:t>一般公共预算财政拨款支出决算表</w:t>
      </w:r>
    </w:p>
    <w:p>
      <w:pPr>
        <w:spacing w:line="240" w:lineRule="exact"/>
        <w:ind w:right="960"/>
        <w:jc w:val="right"/>
        <w:rPr>
          <w:rFonts w:asciiTheme="minorEastAsia" w:hAnsiTheme="minorEastAsia"/>
          <w:sz w:val="24"/>
          <w:szCs w:val="24"/>
        </w:rPr>
      </w:pPr>
      <w:r>
        <w:rPr>
          <w:rFonts w:hint="eastAsia" w:asciiTheme="minorEastAsia" w:hAnsiTheme="minorEastAsia"/>
          <w:sz w:val="24"/>
          <w:szCs w:val="24"/>
        </w:rPr>
        <w:t>公开05表</w:t>
      </w:r>
    </w:p>
    <w:p>
      <w:pPr>
        <w:spacing w:line="24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2412"/>
        <w:gridCol w:w="4109"/>
        <w:gridCol w:w="2420"/>
        <w:gridCol w:w="2116"/>
        <w:gridCol w:w="2575"/>
      </w:tblGrid>
      <w:tr>
        <w:trPr>
          <w:wBefore/>
          <w:trHeight w:val="300"/>
          <w:jc w:val="center"/>
        </w:trPr>
        <w:tc>
          <w:tcPr>
            <w:tcW w:w="6521"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111" w:type="dxa"/>
            <w:gridSpan w:val="3"/>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rPr>
          <w:wBefore/>
          <w:trHeight w:val="312"/>
          <w:jc w:val="center"/>
        </w:trPr>
        <w:tc>
          <w:tcPr>
            <w:tcW w:w="2412"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109" w:type="dxa"/>
            <w:vMerge w:val="restart"/>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42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116"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575"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rPr>
          <w:wBefore/>
          <w:trHeight w:val="312"/>
          <w:jc w:val="center"/>
        </w:trPr>
        <w:tc>
          <w:tcPr>
            <w:tcW w:w="2412"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4109"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42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116"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575"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312"/>
          <w:jc w:val="center"/>
        </w:trPr>
        <w:tc>
          <w:tcPr>
            <w:tcW w:w="2412" w:type="dxa"/>
            <w:vMerge w:val="continue"/>
            <w:tcBorders>
              <w:top w:val="nil"/>
              <w:left w:val="single" w:color="000000" w:sz="4" w:space="0"/>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4109"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420"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116"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c>
          <w:tcPr>
            <w:tcW w:w="2575" w:type="dxa"/>
            <w:vMerge w:val="continue"/>
            <w:tcBorders>
              <w:top w:val="nil"/>
              <w:left w:val="nil"/>
              <w:bottom w:val="single" w:color="000000" w:sz="4" w:space="0"/>
              <w:right w:val="single" w:color="000000" w:sz="4" w:space="0"/>
            </w:tcBorders>
            <w:vAlign w:val="center"/>
            <w:hideMark/>
          </w:tcPr>
          <w:p>
            <w:pPr>
              <w:widowControl/>
              <w:spacing w:line="260" w:lineRule="exact"/>
              <w:jc w:val="left"/>
              <w:rPr>
                <w:rFonts w:ascii="宋体" w:hAnsi="宋体" w:eastAsia="宋体" w:cs="Arial"/>
                <w:kern w:val="0"/>
                <w:sz w:val="20"/>
                <w:szCs w:val="20"/>
              </w:rPr>
            </w:pPr>
          </w:p>
        </w:tc>
      </w:tr>
      <w:tr>
        <w:trPr>
          <w:wBefore/>
          <w:trHeight w:val="142"/>
          <w:jc w:val="center"/>
        </w:trPr>
        <w:tc>
          <w:tcPr>
            <w:tcW w:w="6521"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3</w:t>
            </w:r>
          </w:p>
        </w:tc>
      </w:tr>
      <w:tr>
        <w:trPr>
          <w:wBefore/>
          <w:trHeight w:val="300"/>
          <w:jc w:val="center"/>
        </w:trPr>
        <w:tc>
          <w:tcPr>
            <w:tcW w:w="6521"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5,400.15</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4,893.87</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506.28</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10.00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593.00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593.00</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262.00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262.00</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1,611.58</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1,221.40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390.18</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1,611.58</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1,221.40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390.18</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1,611.58</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1,221.40</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390.18</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2,616.47</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2,547.47</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69.00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2,616.47</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2,547.47</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69.00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2200113</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地质矿产资源与环境调查</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45.00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2,571.47</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2,547.47</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24.00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260.00</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灾害防治及应急管理支出</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22406</w:t>
            </w:r>
          </w:p>
        </w:tc>
        <w:tc>
          <w:tcPr>
            <w:tcW w:w="4109"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left"/>
              <w:rPr>
                <w:rFonts w:ascii="宋体" w:hAnsi="宋体" w:eastAsia="宋体" w:cs="Arial"/>
                <w:b/>
                <w:bCs/>
                <w:kern w:val="0"/>
                <w:sz w:val="20"/>
                <w:szCs w:val="20"/>
              </w:rPr>
            </w:pPr>
            <w:r>
              <w:rPr>
                <w:rFonts w:hint="eastAsia" w:ascii="宋体" w:hAnsi="宋体" w:eastAsia="宋体" w:cs="Arial"/>
                <w:b/>
                <w:bCs/>
                <w:kern w:val="0"/>
                <w:sz w:val="20"/>
                <w:szCs w:val="20"/>
              </w:rPr>
              <w:t>自然灾害防治</w:t>
            </w:r>
          </w:p>
        </w:tc>
        <w:tc>
          <w:tcPr>
            <w:tcW w:w="2420"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c>
          <w:tcPr>
            <w:tcW w:w="2116"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575" w:type="dxa"/>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right"/>
              <w:rPr>
                <w:rFonts w:ascii="宋体" w:hAnsi="宋体" w:eastAsia="宋体" w:cs="Arial"/>
                <w:b/>
                <w:bCs/>
                <w:kern w:val="0"/>
                <w:sz w:val="20"/>
                <w:szCs w:val="20"/>
              </w:rPr>
            </w:pPr>
            <w:r>
              <w:rPr>
                <w:rFonts w:hint="eastAsia" w:ascii="宋体" w:hAnsi="宋体" w:eastAsia="宋体" w:cs="Arial"/>
                <w:b/>
                <w:bCs/>
                <w:kern w:val="0"/>
                <w:sz w:val="20"/>
                <w:szCs w:val="20"/>
              </w:rPr>
              <w:t>47.10</w:t>
            </w:r>
          </w:p>
        </w:tc>
      </w:tr>
      <w:tr>
        <w:trPr>
          <w:wBefore/>
          <w:trHeight w:val="300"/>
          <w:jc w:val="center"/>
        </w:trPr>
        <w:tc>
          <w:tcPr>
            <w:tcW w:w="2412"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2240601</w:t>
            </w:r>
          </w:p>
        </w:tc>
        <w:tc>
          <w:tcPr>
            <w:tcW w:w="4109" w:type="dxa"/>
            <w:tcBorders>
              <w:top w:val="nil"/>
              <w:left w:val="nil"/>
              <w:bottom w:val="single" w:color="000000" w:sz="4" w:space="0"/>
              <w:right w:val="single" w:color="000000" w:sz="4" w:space="0"/>
            </w:tcBorders>
            <w:shd w:val="clear" w:color="auto" w:fill="auto"/>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地质灾害防治</w:t>
            </w:r>
          </w:p>
        </w:tc>
        <w:tc>
          <w:tcPr>
            <w:tcW w:w="242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c>
          <w:tcPr>
            <w:tcW w:w="21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575"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47.10</w:t>
            </w:r>
          </w:p>
        </w:tc>
      </w:tr>
      <w:tr>
        <w:trPr>
          <w:wBefore/>
          <w:trHeight w:val="300"/>
          <w:jc w:val="center"/>
        </w:trPr>
        <w:tc>
          <w:tcPr>
            <w:tcW w:w="13632" w:type="dxa"/>
            <w:gridSpan w:val="5"/>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spacing w:line="400" w:lineRule="exact"/>
        <w:ind/>
        <w:jc w:val="center"/>
        <w:rPr>
          <w:b/>
          <w:sz w:val="44"/>
          <w:szCs w:val="44"/>
        </w:rPr>
      </w:pPr>
    </w:p>
    <w:p>
      <w:pPr>
        <w:spacing w:line="400" w:lineRule="exact"/>
        <w:ind/>
        <w:jc w:val="center"/>
        <w:rPr>
          <w:b/>
          <w:sz w:val="44"/>
          <w:szCs w:val="44"/>
        </w:rPr>
      </w:pPr>
      <w:r>
        <w:rPr>
          <w:rFonts w:hint="eastAsia"/>
          <w:b/>
          <w:sz w:val="44"/>
          <w:szCs w:val="44"/>
        </w:rPr>
        <w:t>一般公共预算财政拨款基本支出决算表</w:t>
      </w:r>
    </w:p>
    <w:p>
      <w:pPr>
        <w:spacing w:line="240" w:lineRule="exact"/>
        <w:ind w:right="960"/>
        <w:jc w:val="right"/>
        <w:rPr>
          <w:rFonts w:asciiTheme="minorEastAsia" w:hAnsiTheme="minorEastAsia"/>
          <w:sz w:val="24"/>
          <w:szCs w:val="24"/>
        </w:rPr>
      </w:pPr>
      <w:r>
        <w:rPr>
          <w:rFonts w:hint="eastAsia" w:asciiTheme="minorEastAsia" w:hAnsiTheme="minorEastAsia"/>
          <w:sz w:val="24"/>
          <w:szCs w:val="24"/>
        </w:rPr>
        <w:t>公开06表</w:t>
      </w:r>
    </w:p>
    <w:p>
      <w:pPr>
        <w:spacing w:line="24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1095"/>
        <w:gridCol w:w="3100"/>
        <w:gridCol w:w="1180"/>
        <w:gridCol w:w="1087"/>
        <w:gridCol w:w="1972"/>
        <w:gridCol w:w="851"/>
        <w:gridCol w:w="1249"/>
        <w:gridCol w:w="3570"/>
        <w:gridCol w:w="816"/>
      </w:tblGrid>
      <w:tr>
        <w:trPr>
          <w:wBefore/>
          <w:trHeight w:val="300"/>
          <w:jc w:val="center"/>
        </w:trPr>
        <w:tc>
          <w:tcPr>
            <w:tcW w:w="5375" w:type="dxa"/>
            <w:gridSpan w:val="3"/>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545" w:type="dxa"/>
            <w:gridSpan w:val="6"/>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rPr>
          <w:wBefore/>
          <w:trHeight w:val="312"/>
          <w:jc w:val="center"/>
        </w:trPr>
        <w:tc>
          <w:tcPr>
            <w:tcW w:w="1095"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10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8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1087"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1972"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51"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1249"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70"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16" w:type="dxa"/>
            <w:vMerge w:val="restart"/>
            <w:tcBorders>
              <w:top w:val="nil"/>
              <w:left w:val="nil"/>
              <w:bottom w:val="single" w:color="000000" w:sz="4" w:space="0"/>
              <w:right w:val="single" w:color="000000" w:sz="4" w:space="0"/>
            </w:tcBorders>
            <w:shd w:val="clear" w:color="000000" w:fill="C0C0C0"/>
            <w:vAlign w:val="center"/>
            <w:hideMark/>
          </w:tcPr>
          <w:p>
            <w:pPr>
              <w:widowControl/>
              <w:spacing w:line="200" w:lineRule="exact"/>
              <w:ind/>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rPr>
          <w:wBefore/>
          <w:trHeight w:val="312"/>
          <w:jc w:val="center"/>
        </w:trPr>
        <w:tc>
          <w:tcPr>
            <w:tcW w:w="1095" w:type="dxa"/>
            <w:vMerge w:val="continue"/>
            <w:tcBorders>
              <w:top w:val="nil"/>
              <w:left w:val="single" w:color="000000" w:sz="4" w:space="0"/>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3100"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1180"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1087"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1972"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851"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1249"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3570"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c>
          <w:tcPr>
            <w:tcW w:w="816" w:type="dxa"/>
            <w:vMerge w:val="continue"/>
            <w:tcBorders>
              <w:top w:val="nil"/>
              <w:left w:val="nil"/>
              <w:bottom w:val="single" w:color="000000" w:sz="4" w:space="0"/>
              <w:right w:val="single" w:color="000000" w:sz="4" w:space="0"/>
            </w:tcBorders>
            <w:vAlign w:val="center"/>
            <w:hideMark/>
          </w:tcPr>
          <w:p>
            <w:pPr>
              <w:widowControl/>
              <w:spacing w:line="240" w:lineRule="exact"/>
              <w:jc w:val="left"/>
              <w:rPr>
                <w:rFonts w:ascii="宋体" w:hAnsi="宋体" w:eastAsia="宋体" w:cs="Arial"/>
                <w:kern w:val="0"/>
                <w:sz w:val="20"/>
                <w:szCs w:val="20"/>
              </w:rPr>
            </w:pP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4,538.72</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132.15</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1,385.76</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11.68</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91.20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0.61</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1,221.40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13"/>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737.36</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2.70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机关事业单位基本养老保险缴费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530.00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3.58</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250.00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1.07</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3.37</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63.00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19.66</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26"/>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260.00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因公出国（境）费用</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3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8.00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89"/>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8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223.00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2.08</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56"/>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25.79</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03"/>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64"/>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83"/>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71.76</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77"/>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71.76</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12.00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1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14.50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spacing w:val="-20"/>
                <w:kern w:val="0"/>
                <w:sz w:val="20"/>
                <w:szCs w:val="20"/>
              </w:rPr>
            </w:pPr>
            <w:r>
              <w:rPr>
                <w:rFonts w:hint="eastAsia" w:ascii="宋体" w:hAnsi="宋体" w:eastAsia="宋体" w:cs="Arial"/>
                <w:spacing w:val="-20"/>
                <w:kern w:val="0"/>
                <w:sz w:val="20"/>
                <w:szCs w:val="20"/>
              </w:rPr>
              <w:t>对民间非营利组织和群众性自治组织补贴</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spacing w:val="-20"/>
                <w:kern w:val="0"/>
                <w:sz w:val="20"/>
                <w:szCs w:val="20"/>
              </w:rPr>
            </w:pPr>
            <w:r>
              <w:rPr>
                <w:rFonts w:hint="eastAsia" w:ascii="宋体" w:hAnsi="宋体" w:eastAsia="宋体" w:cs="Arial"/>
                <w:spacing w:val="-20"/>
                <w:kern w:val="0"/>
                <w:sz w:val="20"/>
                <w:szCs w:val="20"/>
              </w:rPr>
              <w:t>公务用车运行维护费</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r>
      <w:tr>
        <w:trPr>
          <w:wBefore/>
          <w:trHeight w:val="271"/>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152"/>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27.19</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77"/>
          <w:jc w:val="center"/>
        </w:trPr>
        <w:tc>
          <w:tcPr>
            <w:tcW w:w="1095" w:type="dxa"/>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10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7"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1972"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spacing w:val="-20"/>
                <w:kern w:val="0"/>
                <w:sz w:val="20"/>
                <w:szCs w:val="20"/>
              </w:rPr>
            </w:pPr>
            <w:r>
              <w:rPr>
                <w:rFonts w:hint="eastAsia" w:ascii="宋体" w:hAnsi="宋体" w:eastAsia="宋体" w:cs="Arial"/>
                <w:spacing w:val="-20"/>
                <w:kern w:val="0"/>
                <w:sz w:val="20"/>
                <w:szCs w:val="20"/>
              </w:rPr>
              <w:t>其他商品和服务支出</w:t>
            </w:r>
          </w:p>
        </w:tc>
        <w:tc>
          <w:tcPr>
            <w:tcW w:w="851"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24.41</w:t>
            </w:r>
          </w:p>
        </w:tc>
        <w:tc>
          <w:tcPr>
            <w:tcW w:w="1249"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70" w:type="dxa"/>
            <w:tcBorders>
              <w:top w:val="nil"/>
              <w:left w:val="nil"/>
              <w:bottom w:val="single" w:color="000000" w:sz="4" w:space="0"/>
              <w:right w:val="single" w:color="000000" w:sz="4" w:space="0"/>
            </w:tcBorders>
            <w:shd w:val="clear" w:color="000000" w:fill="C0C0C0"/>
            <w:noWrap/>
            <w:vAlign w:val="center"/>
            <w:hideMark/>
          </w:tcPr>
          <w:p>
            <w:pPr>
              <w:widowControl/>
              <w:spacing w:line="240" w:lineRule="exact"/>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40" w:lineRule="exact"/>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77"/>
          <w:jc w:val="center"/>
        </w:trPr>
        <w:tc>
          <w:tcPr>
            <w:tcW w:w="4195"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4,761.72</w:t>
            </w:r>
          </w:p>
        </w:tc>
        <w:tc>
          <w:tcPr>
            <w:tcW w:w="8729" w:type="dxa"/>
            <w:gridSpan w:val="5"/>
            <w:tcBorders>
              <w:top w:val="nil"/>
              <w:left w:val="nil"/>
              <w:bottom w:val="single" w:color="000000" w:sz="4" w:space="0"/>
              <w:right w:val="single" w:color="000000" w:sz="4" w:space="0"/>
            </w:tcBorders>
            <w:shd w:val="clear" w:color="000000" w:fill="C0C0C0"/>
            <w:noWrap/>
            <w:vAlign w:val="center"/>
            <w:hideMark/>
          </w:tcPr>
          <w:p>
            <w:pPr>
              <w:widowControl/>
              <w:spacing w:line="260" w:lineRule="exact"/>
              <w:ind/>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816" w:type="dxa"/>
            <w:tcBorders>
              <w:top w:val="nil"/>
              <w:left w:val="nil"/>
              <w:bottom w:val="single" w:color="000000" w:sz="4" w:space="0"/>
              <w:right w:val="single" w:color="000000" w:sz="4" w:space="0"/>
            </w:tcBorders>
            <w:shd w:val="clear" w:color="000000" w:fill="FFFFFF"/>
            <w:noWrap/>
            <w:vAlign w:val="center"/>
            <w:hideMark/>
          </w:tcPr>
          <w:p>
            <w:pPr>
              <w:widowControl/>
              <w:spacing w:line="260" w:lineRule="exact"/>
              <w:ind/>
              <w:jc w:val="right"/>
              <w:rPr>
                <w:rFonts w:ascii="宋体" w:hAnsi="宋体" w:eastAsia="宋体" w:cs="Arial"/>
                <w:kern w:val="0"/>
                <w:sz w:val="20"/>
                <w:szCs w:val="20"/>
              </w:rPr>
            </w:pPr>
            <w:r>
              <w:rPr>
                <w:rFonts w:hint="eastAsia" w:ascii="宋体" w:hAnsi="宋体" w:eastAsia="宋体" w:cs="Arial"/>
                <w:kern w:val="0"/>
                <w:sz w:val="20"/>
                <w:szCs w:val="20"/>
              </w:rPr>
              <w:t>132.15</w:t>
            </w:r>
          </w:p>
        </w:tc>
      </w:tr>
      <w:tr>
        <w:trPr>
          <w:wBefore/>
          <w:trHeight w:val="300"/>
          <w:jc w:val="center"/>
        </w:trPr>
        <w:tc>
          <w:tcPr>
            <w:tcW w:w="14920" w:type="dxa"/>
            <w:gridSpan w:val="9"/>
            <w:tcBorders>
              <w:top w:val="nil"/>
              <w:left w:val="nil"/>
              <w:bottom w:val="nil"/>
              <w:right w:val="nil"/>
            </w:tcBorders>
            <w:shd w:val="clear" w:color="000000" w:fill="FFFFFF"/>
            <w:noWrap/>
            <w:vAlign w:val="center"/>
            <w:hideMark/>
          </w:tcPr>
          <w:p>
            <w:pPr>
              <w:widowControl/>
              <w:spacing w:line="260" w:lineRule="exact"/>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spacing w:line="600" w:lineRule="exact"/>
        <w:ind/>
        <w:jc w:val="center"/>
        <w:rPr>
          <w:b/>
          <w:sz w:val="44"/>
          <w:szCs w:val="44"/>
        </w:rPr>
      </w:pPr>
      <w:r>
        <w:rPr>
          <w:rFonts w:hint="eastAsia"/>
          <w:b/>
          <w:sz w:val="44"/>
          <w:szCs w:val="44"/>
        </w:rPr>
        <w:t>一般公共预算财政拨款“三公”经费支出决算表</w:t>
      </w:r>
    </w:p>
    <w:p>
      <w:pPr>
        <w:spacing w:line="260" w:lineRule="exact"/>
        <w:ind w:right="720"/>
        <w:jc w:val="right"/>
        <w:rPr>
          <w:rFonts w:asciiTheme="minorEastAsia" w:hAnsiTheme="minorEastAsia"/>
          <w:sz w:val="24"/>
          <w:szCs w:val="24"/>
        </w:rPr>
      </w:pPr>
      <w:r>
        <w:rPr>
          <w:rFonts w:hint="eastAsia" w:asciiTheme="minorEastAsia" w:hAnsiTheme="minorEastAsia"/>
          <w:sz w:val="24"/>
          <w:szCs w:val="24"/>
        </w:rPr>
        <w:t>公开07表</w:t>
      </w:r>
    </w:p>
    <w:p>
      <w:pPr>
        <w:spacing w:line="260" w:lineRule="exact"/>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722"/>
        <w:gridCol w:w="1180"/>
        <w:gridCol w:w="980"/>
        <w:gridCol w:w="1540"/>
        <w:gridCol w:w="1560"/>
        <w:gridCol w:w="1100"/>
        <w:gridCol w:w="860"/>
        <w:gridCol w:w="1420"/>
        <w:gridCol w:w="940"/>
        <w:gridCol w:w="1420"/>
        <w:gridCol w:w="1420"/>
        <w:gridCol w:w="1420"/>
      </w:tblGrid>
      <w:tr>
        <w:trPr>
          <w:wBefore/>
          <w:trHeight w:val="300"/>
          <w:jc w:val="center"/>
        </w:trPr>
        <w:tc>
          <w:tcPr>
            <w:tcW w:w="7082" w:type="dxa"/>
            <w:gridSpan w:val="6"/>
            <w:tcBorders>
              <w:top w:val="nil"/>
              <w:left w:val="single" w:color="000000" w:sz="4" w:space="0"/>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 xml:space="preserve"> </w:t>
            </w:r>
          </w:p>
        </w:tc>
        <w:tc>
          <w:tcPr>
            <w:tcW w:w="7480" w:type="dxa"/>
            <w:gridSpan w:val="6"/>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rPr>
          <w:wBefore/>
          <w:trHeight w:val="300"/>
          <w:jc w:val="center"/>
        </w:trPr>
        <w:tc>
          <w:tcPr>
            <w:tcW w:w="722"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1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4080" w:type="dxa"/>
            <w:gridSpan w:val="3"/>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10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86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2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780" w:type="dxa"/>
            <w:gridSpan w:val="3"/>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42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rPr>
          <w:wBefore/>
          <w:trHeight w:val="600"/>
          <w:jc w:val="center"/>
        </w:trPr>
        <w:tc>
          <w:tcPr>
            <w:tcW w:w="722" w:type="dxa"/>
            <w:vMerge w:val="continue"/>
            <w:tcBorders>
              <w:top w:val="nil"/>
              <w:left w:val="single" w:color="000000" w:sz="4" w:space="0"/>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1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98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54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56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10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86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42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94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42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300"/>
          <w:jc w:val="center"/>
        </w:trPr>
        <w:tc>
          <w:tcPr>
            <w:tcW w:w="722" w:type="dxa"/>
            <w:tcBorders>
              <w:top w:val="nil"/>
              <w:left w:val="single" w:color="000000" w:sz="4" w:space="0"/>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8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8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54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6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0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86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94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420" w:type="dxa"/>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12</w:t>
            </w:r>
          </w:p>
        </w:tc>
      </w:tr>
      <w:tr>
        <w:trPr>
          <w:wBefore/>
          <w:trHeight w:val="300"/>
          <w:jc w:val="center"/>
        </w:trPr>
        <w:tc>
          <w:tcPr>
            <w:tcW w:w="722" w:type="dxa"/>
            <w:tcBorders>
              <w:top w:val="nil"/>
              <w:left w:val="single" w:color="000000" w:sz="4" w:space="0"/>
              <w:bottom w:val="single" w:color="000000" w:sz="4" w:space="0"/>
              <w:right w:val="single" w:color="000000" w:sz="4" w:space="0"/>
            </w:tcBorders>
            <w:shd w:val="clear" w:color="auto" w:fill="auto"/>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8.00</w:t>
            </w:r>
          </w:p>
        </w:tc>
        <w:tc>
          <w:tcPr>
            <w:tcW w:w="11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80" w:type="dxa"/>
            <w:tcBorders>
              <w:top w:val="nil"/>
              <w:left w:val="nil"/>
              <w:bottom w:val="single" w:color="000000" w:sz="4" w:space="0"/>
              <w:right w:val="single" w:color="000000" w:sz="4" w:space="0"/>
            </w:tcBorders>
            <w:shd w:val="clear" w:color="auto" w:fill="auto"/>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54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6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10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86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8.00</w:t>
            </w:r>
          </w:p>
        </w:tc>
        <w:tc>
          <w:tcPr>
            <w:tcW w:w="142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42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2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42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1.00</w:t>
            </w:r>
          </w:p>
        </w:tc>
      </w:tr>
      <w:tr>
        <w:trPr>
          <w:wBefore/>
          <w:trHeight w:val="600"/>
          <w:jc w:val="center"/>
        </w:trPr>
        <w:tc>
          <w:tcPr>
            <w:tcW w:w="14562" w:type="dxa"/>
            <w:gridSpan w:val="12"/>
            <w:tcBorders>
              <w:top w:val="nil"/>
              <w:left w:val="nil"/>
              <w:bottom w:val="nil"/>
              <w:right w:val="nil"/>
            </w:tcBorders>
            <w:shd w:val="clear" w:color="000000" w:fill="FFFFFF"/>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pacing w:line="260" w:lineRule="exact"/>
        <w:ind/>
        <w:jc w:val="center"/>
        <w:rPr>
          <w:rFonts w:asciiTheme="minorEastAsia" w:hAnsiTheme="minorEastAsia"/>
          <w:sz w:val="24"/>
          <w:szCs w:val="24"/>
        </w:rPr>
      </w:pPr>
    </w:p>
    <w:p>
      <w:pPr>
        <w:spacing w:line="260" w:lineRule="exact"/>
        <w:ind/>
        <w:jc w:val="center"/>
        <w:rPr>
          <w:rFonts w:asciiTheme="minorEastAsia" w:hAnsiTheme="minorEastAsia"/>
          <w:sz w:val="24"/>
          <w:szCs w:val="24"/>
        </w:rPr>
      </w:pPr>
    </w:p>
    <w:p>
      <w:pPr>
        <w:spacing w:line="260" w:lineRule="exact"/>
        <w:ind/>
        <w:jc w:val="center"/>
        <w:rPr>
          <w:rFonts w:asciiTheme="minorEastAsia" w:hAnsiTheme="minorEastAsia"/>
          <w:sz w:val="24"/>
          <w:szCs w:val="24"/>
        </w:rPr>
      </w:pPr>
    </w:p>
    <w:p>
      <w:pPr>
        <w:spacing w:line="260" w:lineRule="exact"/>
        <w:ind/>
        <w:jc w:val="center"/>
        <w:rPr>
          <w:rFonts w:asciiTheme="minorEastAsia" w:hAnsiTheme="minorEastAsia"/>
          <w:sz w:val="24"/>
          <w:szCs w:val="24"/>
        </w:rPr>
      </w:pPr>
    </w:p>
    <w:p>
      <w:pPr>
        <w:spacing w:line="260" w:lineRule="exact"/>
        <w:ind/>
        <w:jc w:val="center"/>
        <w:rPr>
          <w:rFonts w:asciiTheme="minorEastAsia" w:hAnsiTheme="minorEastAsia"/>
          <w:sz w:val="24"/>
          <w:szCs w:val="24"/>
        </w:rPr>
      </w:pPr>
    </w:p>
    <w:p>
      <w:pPr>
        <w:spacing w:line="260" w:lineRule="exact"/>
        <w:ind/>
        <w:jc w:val="center"/>
        <w:rPr>
          <w:rFonts w:asciiTheme="minorEastAsia" w:hAnsiTheme="minorEastAsia"/>
          <w:sz w:val="24"/>
          <w:szCs w:val="24"/>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rFonts w:hint="eastAsia"/>
          <w:sz w:val="72"/>
          <w:szCs w:val="72"/>
        </w:rPr>
      </w:pPr>
    </w:p>
    <w:p>
      <w:pPr>
        <w:ind/>
        <w:jc w:val="center"/>
        <w:rPr>
          <w:sz w:val="72"/>
          <w:szCs w:val="72"/>
        </w:rPr>
      </w:pPr>
    </w:p>
    <w:p>
      <w:pPr>
        <w:spacing w:line="600" w:lineRule="exact"/>
        <w:ind/>
        <w:jc w:val="center"/>
        <w:rPr>
          <w:b/>
          <w:sz w:val="44"/>
          <w:szCs w:val="44"/>
        </w:rPr>
      </w:pPr>
      <w:r>
        <w:rPr>
          <w:rFonts w:hint="eastAsia"/>
          <w:b/>
          <w:sz w:val="44"/>
          <w:szCs w:val="44"/>
        </w:rPr>
        <w:t>政府性基金预算财政拨款收入支出决算表</w:t>
      </w:r>
    </w:p>
    <w:p>
      <w:pPr>
        <w:spacing w:line="260" w:lineRule="exact"/>
        <w:ind w:right="720"/>
        <w:jc w:val="right"/>
        <w:rPr>
          <w:rFonts w:asciiTheme="minorEastAsia" w:hAnsiTheme="minorEastAsia"/>
          <w:sz w:val="24"/>
          <w:szCs w:val="24"/>
        </w:rPr>
      </w:pPr>
      <w:r>
        <w:rPr>
          <w:rFonts w:hint="eastAsia" w:asciiTheme="minorEastAsia" w:hAnsiTheme="minorEastAsia"/>
          <w:sz w:val="24"/>
          <w:szCs w:val="24"/>
        </w:rPr>
        <w:t>公开08表</w:t>
      </w:r>
    </w:p>
    <w:p>
      <w:pPr>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1559"/>
        <w:gridCol w:w="2388"/>
        <w:gridCol w:w="1680"/>
        <w:gridCol w:w="1680"/>
        <w:gridCol w:w="1680"/>
        <w:gridCol w:w="1680"/>
        <w:gridCol w:w="1680"/>
        <w:gridCol w:w="1680"/>
      </w:tblGrid>
      <w:tr>
        <w:trPr>
          <w:wBefore/>
          <w:trHeight w:val="300"/>
          <w:jc w:val="center"/>
        </w:trPr>
        <w:tc>
          <w:tcPr>
            <w:tcW w:w="394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5040" w:type="dxa"/>
            <w:gridSpan w:val="3"/>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rPr>
          <w:wBefore/>
          <w:trHeight w:val="312"/>
          <w:jc w:val="center"/>
        </w:trPr>
        <w:tc>
          <w:tcPr>
            <w:tcW w:w="1559"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2388" w:type="dxa"/>
            <w:vMerge w:val="restart"/>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680"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312"/>
          <w:jc w:val="center"/>
        </w:trPr>
        <w:tc>
          <w:tcPr>
            <w:tcW w:w="1559" w:type="dxa"/>
            <w:vMerge w:val="continue"/>
            <w:tcBorders>
              <w:top w:val="nil"/>
              <w:left w:val="single" w:color="000000" w:sz="4" w:space="0"/>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2388"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312"/>
          <w:jc w:val="center"/>
        </w:trPr>
        <w:tc>
          <w:tcPr>
            <w:tcW w:w="1559" w:type="dxa"/>
            <w:vMerge w:val="continue"/>
            <w:tcBorders>
              <w:top w:val="nil"/>
              <w:left w:val="single" w:color="000000" w:sz="4" w:space="0"/>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2388"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300"/>
          <w:jc w:val="center"/>
        </w:trPr>
        <w:tc>
          <w:tcPr>
            <w:tcW w:w="394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80"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6</w:t>
            </w:r>
          </w:p>
        </w:tc>
      </w:tr>
      <w:tr>
        <w:trPr>
          <w:wBefore/>
          <w:trHeight w:val="300"/>
          <w:jc w:val="center"/>
        </w:trPr>
        <w:tc>
          <w:tcPr>
            <w:tcW w:w="394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300"/>
          <w:jc w:val="center"/>
        </w:trPr>
        <w:tc>
          <w:tcPr>
            <w:tcW w:w="1559"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388" w:type="dxa"/>
            <w:tcBorders>
              <w:top w:val="nil"/>
              <w:left w:val="nil"/>
              <w:bottom w:val="single" w:color="000000" w:sz="4" w:space="0"/>
              <w:right w:val="single" w:color="000000" w:sz="4" w:space="0"/>
            </w:tcBorders>
            <w:shd w:val="clear" w:color="auto" w:fill="auto"/>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300"/>
          <w:jc w:val="center"/>
        </w:trPr>
        <w:tc>
          <w:tcPr>
            <w:tcW w:w="14027" w:type="dxa"/>
            <w:gridSpan w:val="8"/>
            <w:tcBorders>
              <w:top w:val="nil"/>
              <w:left w:val="nil"/>
              <w:bottom w:val="nil"/>
              <w:right w:val="nil"/>
            </w:tcBorders>
            <w:shd w:val="clear" w:color="000000" w:fill="FFFFFF"/>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注：本表反映部门本年度政府性基金预算财政拨款收入、支出及结转和结余情况。</w:t>
            </w:r>
          </w:p>
        </w:tc>
      </w:tr>
    </w:tbl>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ind/>
        <w:jc w:val="center"/>
        <w:rPr>
          <w:sz w:val="72"/>
          <w:szCs w:val="72"/>
        </w:rPr>
      </w:pPr>
    </w:p>
    <w:p>
      <w:pPr>
        <w:spacing w:line="600" w:lineRule="exact"/>
        <w:ind/>
        <w:jc w:val="center"/>
        <w:rPr>
          <w:b/>
          <w:sz w:val="44"/>
          <w:szCs w:val="44"/>
        </w:rPr>
      </w:pPr>
      <w:r>
        <w:rPr>
          <w:rFonts w:hint="eastAsia"/>
          <w:b/>
          <w:sz w:val="44"/>
          <w:szCs w:val="44"/>
        </w:rPr>
        <w:t>国有资本经营预算财政拨款支出决算表</w:t>
      </w:r>
    </w:p>
    <w:p>
      <w:pPr>
        <w:spacing w:line="260" w:lineRule="exact"/>
        <w:ind w:right="960"/>
        <w:jc w:val="right"/>
        <w:rPr>
          <w:rFonts w:asciiTheme="minorEastAsia" w:hAnsiTheme="minorEastAsia"/>
          <w:sz w:val="24"/>
          <w:szCs w:val="24"/>
        </w:rPr>
      </w:pPr>
      <w:r>
        <w:rPr>
          <w:rFonts w:hint="eastAsia" w:asciiTheme="minorEastAsia" w:hAnsiTheme="minorEastAsia"/>
          <w:sz w:val="24"/>
          <w:szCs w:val="24"/>
        </w:rPr>
        <w:t>公开09表</w:t>
      </w:r>
    </w:p>
    <w:p>
      <w:pPr>
        <w:ind/>
        <w:jc w:val="center"/>
        <w:rPr>
          <w:rFonts w:asciiTheme="minorEastAsia" w:hAnsiTheme="minorEastAsia"/>
          <w:sz w:val="24"/>
          <w:szCs w:val="24"/>
        </w:rPr>
      </w:pPr>
      <w:r>
        <w:rPr>
          <w:rFonts w:hint="eastAsia" w:asciiTheme="minorEastAsia" w:hAnsiTheme="minorEastAsia"/>
          <w:sz w:val="24"/>
          <w:szCs w:val="24"/>
        </w:rPr>
        <w:t>部门：湖南省煤田地质局第二勘探队                       2020年度                               金额单位：万元</w:t>
      </w:r>
    </w:p>
    <w:tbl>
      <w:tblPr>
        <w:tblW w:w="0" w:type="auto"/>
        <w:jc w:val="center"/>
        <w:tblLook w:firstRow="true" w:lastRow="false" w:firstColumn="true" w:lastColumn="false" w:noHBand="false" w:noVBand="true" w:val="04A0"/>
      </w:tblPr>
      <w:tblGrid>
        <w:gridCol w:w="2785"/>
        <w:gridCol w:w="4582"/>
        <w:gridCol w:w="1964"/>
        <w:gridCol w:w="1964"/>
        <w:gridCol w:w="2662"/>
      </w:tblGrid>
      <w:tr>
        <w:trPr>
          <w:wBefore/>
          <w:trHeight w:val="558"/>
          <w:jc w:val="center"/>
        </w:trPr>
        <w:tc>
          <w:tcPr>
            <w:tcW w:w="736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590" w:type="dxa"/>
            <w:gridSpan w:val="3"/>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rPr>
          <w:wBefore/>
          <w:trHeight w:val="580"/>
          <w:jc w:val="center"/>
        </w:trPr>
        <w:tc>
          <w:tcPr>
            <w:tcW w:w="2785" w:type="dxa"/>
            <w:vMerge w:val="restart"/>
            <w:tcBorders>
              <w:top w:val="nil"/>
              <w:left w:val="single" w:color="000000" w:sz="4" w:space="0"/>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582" w:type="dxa"/>
            <w:vMerge w:val="restart"/>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964"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964"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662" w:type="dxa"/>
            <w:vMerge w:val="restart"/>
            <w:tcBorders>
              <w:top w:val="nil"/>
              <w:left w:val="nil"/>
              <w:bottom w:val="single" w:color="000000" w:sz="4" w:space="0"/>
              <w:right w:val="single" w:color="000000" w:sz="4" w:space="0"/>
            </w:tcBorders>
            <w:shd w:val="clear" w:color="000000" w:fill="C0C0C0"/>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rPr>
          <w:wBefore/>
          <w:trHeight w:val="580"/>
          <w:jc w:val="center"/>
        </w:trPr>
        <w:tc>
          <w:tcPr>
            <w:tcW w:w="2785" w:type="dxa"/>
            <w:vMerge w:val="continue"/>
            <w:tcBorders>
              <w:top w:val="nil"/>
              <w:left w:val="single" w:color="000000" w:sz="4" w:space="0"/>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4582"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964"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964"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2662"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580"/>
          <w:jc w:val="center"/>
        </w:trPr>
        <w:tc>
          <w:tcPr>
            <w:tcW w:w="2785" w:type="dxa"/>
            <w:vMerge w:val="continue"/>
            <w:tcBorders>
              <w:top w:val="nil"/>
              <w:left w:val="single" w:color="000000" w:sz="4" w:space="0"/>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4582"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964"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1964"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c>
          <w:tcPr>
            <w:tcW w:w="2662" w:type="dxa"/>
            <w:vMerge w:val="continue"/>
            <w:tcBorders>
              <w:top w:val="nil"/>
              <w:left w:val="nil"/>
              <w:bottom w:val="single" w:color="000000" w:sz="4" w:space="0"/>
              <w:right w:val="single" w:color="000000" w:sz="4" w:space="0"/>
            </w:tcBorders>
            <w:vAlign w:val="center"/>
            <w:hideMark/>
          </w:tcPr>
          <w:p>
            <w:pPr>
              <w:widowControl/>
              <w:jc w:val="left"/>
              <w:rPr>
                <w:rFonts w:ascii="宋体" w:hAnsi="宋体" w:eastAsia="宋体" w:cs="Arial"/>
                <w:kern w:val="0"/>
                <w:sz w:val="20"/>
                <w:szCs w:val="20"/>
              </w:rPr>
            </w:pPr>
          </w:p>
        </w:tc>
      </w:tr>
      <w:tr>
        <w:trPr>
          <w:wBefore/>
          <w:trHeight w:val="558"/>
          <w:jc w:val="center"/>
        </w:trPr>
        <w:tc>
          <w:tcPr>
            <w:tcW w:w="736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964"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964"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662" w:type="dxa"/>
            <w:tcBorders>
              <w:top w:val="nil"/>
              <w:left w:val="nil"/>
              <w:bottom w:val="single" w:color="000000" w:sz="4" w:space="0"/>
              <w:right w:val="single" w:color="000000" w:sz="4" w:space="0"/>
            </w:tcBorders>
            <w:shd w:val="clear" w:color="000000" w:fill="C0C0C0"/>
            <w:noWrap/>
            <w:vAlign w:val="center"/>
            <w:hideMark/>
          </w:tcPr>
          <w:p>
            <w:pPr>
              <w:widowControl/>
              <w:ind/>
              <w:jc w:val="center"/>
              <w:rPr>
                <w:rFonts w:ascii="宋体" w:hAnsi="宋体" w:eastAsia="宋体" w:cs="Arial"/>
                <w:kern w:val="0"/>
                <w:sz w:val="20"/>
                <w:szCs w:val="20"/>
              </w:rPr>
            </w:pPr>
            <w:r>
              <w:rPr>
                <w:rFonts w:hint="eastAsia" w:ascii="宋体" w:hAnsi="宋体" w:eastAsia="宋体" w:cs="Arial"/>
                <w:kern w:val="0"/>
                <w:sz w:val="20"/>
                <w:szCs w:val="20"/>
              </w:rPr>
              <w:t>3</w:t>
            </w:r>
          </w:p>
        </w:tc>
      </w:tr>
      <w:tr>
        <w:trPr>
          <w:wBefore/>
          <w:trHeight w:val="558"/>
          <w:jc w:val="center"/>
        </w:trPr>
        <w:tc>
          <w:tcPr>
            <w:tcW w:w="7367" w:type="dxa"/>
            <w:gridSpan w:val="2"/>
            <w:tcBorders>
              <w:top w:val="nil"/>
              <w:left w:val="single" w:color="000000" w:sz="4" w:space="0"/>
              <w:bottom w:val="single" w:color="000000" w:sz="4" w:space="0"/>
              <w:right w:val="single" w:color="000000" w:sz="4" w:space="0"/>
            </w:tcBorders>
            <w:shd w:val="clear" w:color="000000" w:fill="C0C0C0"/>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964" w:type="dxa"/>
            <w:tcBorders>
              <w:top w:val="nil"/>
              <w:left w:val="nil"/>
              <w:bottom w:val="single" w:color="000000" w:sz="4" w:space="0"/>
              <w:right w:val="single" w:color="000000" w:sz="4" w:space="0"/>
            </w:tcBorders>
            <w:shd w:val="clear" w:color="auto" w:fill="auto"/>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662" w:type="dxa"/>
            <w:tcBorders>
              <w:top w:val="nil"/>
              <w:left w:val="nil"/>
              <w:bottom w:val="single" w:color="000000" w:sz="4" w:space="0"/>
              <w:right w:val="single" w:color="000000" w:sz="4" w:space="0"/>
            </w:tcBorders>
            <w:shd w:val="clear" w:color="auto" w:fill="auto"/>
            <w:noWrap/>
            <w:vAlign w:val="center"/>
            <w:hideMark/>
          </w:tcPr>
          <w:p>
            <w:pPr>
              <w:widowControl/>
              <w:ind/>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wBefore/>
          <w:trHeight w:val="558"/>
          <w:jc w:val="center"/>
        </w:trPr>
        <w:tc>
          <w:tcPr>
            <w:tcW w:w="2785" w:type="dxa"/>
            <w:tcBorders>
              <w:top w:val="nil"/>
              <w:left w:val="single" w:color="000000" w:sz="4" w:space="0"/>
              <w:bottom w:val="single" w:color="000000" w:sz="4" w:space="0"/>
              <w:right w:val="single" w:color="000000" w:sz="4" w:space="0"/>
            </w:tcBorders>
            <w:shd w:val="clear" w:color="000000" w:fill="FFFFFF"/>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82" w:type="dxa"/>
            <w:tcBorders>
              <w:top w:val="nil"/>
              <w:left w:val="nil"/>
              <w:bottom w:val="single" w:color="000000" w:sz="4" w:space="0"/>
              <w:right w:val="single" w:color="000000" w:sz="4" w:space="0"/>
            </w:tcBorders>
            <w:shd w:val="clear" w:color="auto" w:fill="auto"/>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64"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964"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662" w:type="dxa"/>
            <w:tcBorders>
              <w:top w:val="nil"/>
              <w:left w:val="nil"/>
              <w:bottom w:val="single" w:color="000000" w:sz="4" w:space="0"/>
              <w:right w:val="single" w:color="000000" w:sz="4" w:space="0"/>
            </w:tcBorders>
            <w:shd w:val="clear" w:color="000000" w:fill="FFFFFF"/>
            <w:noWrap/>
            <w:vAlign w:val="center"/>
            <w:hideMark/>
          </w:tcPr>
          <w:p>
            <w:pPr>
              <w:widowControl/>
              <w:ind/>
              <w:jc w:val="right"/>
              <w:rPr>
                <w:rFonts w:ascii="宋体" w:hAnsi="宋体" w:eastAsia="宋体" w:cs="Arial"/>
                <w:kern w:val="0"/>
                <w:sz w:val="20"/>
                <w:szCs w:val="20"/>
              </w:rPr>
            </w:pPr>
            <w:r>
              <w:rPr>
                <w:rFonts w:hint="eastAsia" w:ascii="宋体" w:hAnsi="宋体" w:eastAsia="宋体" w:cs="Arial"/>
                <w:kern w:val="0"/>
                <w:sz w:val="20"/>
                <w:szCs w:val="20"/>
              </w:rPr>
              <w:t>　</w:t>
            </w:r>
          </w:p>
        </w:tc>
      </w:tr>
      <w:tr>
        <w:trPr>
          <w:wBefore/>
          <w:trHeight w:val="558"/>
          <w:jc w:val="center"/>
        </w:trPr>
        <w:tc>
          <w:tcPr>
            <w:tcW w:w="13957" w:type="dxa"/>
            <w:gridSpan w:val="5"/>
            <w:tcBorders>
              <w:top w:val="nil"/>
              <w:left w:val="nil"/>
              <w:bottom w:val="nil"/>
              <w:right w:val="nil"/>
            </w:tcBorders>
            <w:shd w:val="clear" w:color="000000" w:fill="FFFFFF"/>
            <w:noWrap/>
            <w:vAlign w:val="center"/>
            <w:hideMark/>
          </w:tcPr>
          <w:p>
            <w:pPr>
              <w:widowControl/>
              <w:ind/>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pPr>
        <w:ind/>
        <w:jc w:val="center"/>
        <w:rPr>
          <w:rFonts w:asciiTheme="minorEastAsia" w:hAnsiTheme="minorEastAsia"/>
          <w:sz w:val="24"/>
          <w:szCs w:val="24"/>
        </w:rPr>
      </w:pPr>
    </w:p>
    <w:p>
      <w:pPr>
        <w:ind/>
        <w:jc w:val="center"/>
        <w:rPr>
          <w:sz w:val="72"/>
          <w:szCs w:val="72"/>
        </w:rPr>
      </w:pPr>
    </w:p>
    <w:p>
      <w:pPr>
        <w:jc w:val="center"/>
        <w:rPr>
          <w:sz w:val="72"/>
          <w:szCs w:val="72"/>
        </w:rPr>
        <w:sectPr w:rsidR="00CE315A" w:rsidSect="00C76BA9">
          <w:pgSz w:w="16838" w:h="11906" w:orient="landscape"/>
          <w:pgMar w:top="720" w:right="720" w:bottom="720" w:left="720" w:header="851" w:footer="992" w:gutter="0"/>
          <w:cols w:space="425"/>
          <w:docGrid w:type="linesAndChars" w:linePitch="312"/>
        </w:sectPr>
      </w:pPr>
    </w:p>
    <w:p>
      <w:pPr>
        <w:ind/>
        <w:jc w:val="center"/>
        <w:rPr>
          <w:sz w:val="72"/>
          <w:szCs w:val="72"/>
        </w:rPr>
      </w:pPr>
    </w:p>
    <w:p>
      <w:pPr>
        <w:pStyle w:val="00000b"/>
        <w:ind/>
        <w:rPr>
          <w:color w:val="auto"/>
          <w:sz w:val="72"/>
          <w:szCs w:val="72"/>
        </w:rPr>
      </w:pPr>
    </w:p>
    <w:p>
      <w:pPr>
        <w:pStyle w:val="00000b"/>
        <w:ind/>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44"/>
          <w:szCs w:val="44"/>
        </w:rPr>
      </w:pPr>
      <w:r>
        <w:rPr>
          <w:rFonts w:hint="eastAsia"/>
          <w:color w:val="auto"/>
          <w:sz w:val="44"/>
          <w:szCs w:val="44"/>
        </w:rPr>
        <w:t>第三部分</w:t>
      </w:r>
    </w:p>
    <w:p>
      <w:pPr>
        <w:pStyle w:val="00000b"/>
        <w:ind/>
        <w:jc w:val="center"/>
        <w:rPr>
          <w:color w:val="auto"/>
          <w:sz w:val="44"/>
          <w:szCs w:val="44"/>
        </w:rPr>
      </w:pPr>
    </w:p>
    <w:p>
      <w:pPr>
        <w:pStyle w:val="00000b"/>
        <w:ind/>
        <w:jc w:val="center"/>
        <w:rPr>
          <w:color w:val="auto"/>
          <w:sz w:val="44"/>
          <w:szCs w:val="44"/>
        </w:rPr>
      </w:pPr>
      <w:r>
        <w:rPr>
          <w:color w:val="auto"/>
          <w:sz w:val="44"/>
          <w:szCs w:val="44"/>
        </w:rPr>
        <w:t>20</w:t>
      </w:r>
      <w:r>
        <w:rPr>
          <w:rFonts w:hint="eastAsia"/>
          <w:color w:val="auto"/>
          <w:sz w:val="44"/>
          <w:szCs w:val="44"/>
        </w:rPr>
        <w:t>20年度部门决算情况说明</w:t>
      </w:r>
    </w:p>
    <w:p>
      <w:pPr>
        <w:widowControl/>
        <w:ind/>
        <w:jc w:val="left"/>
        <w:rPr>
          <w:rFonts w:ascii="黑体" w:eastAsia="黑体" w:cs="黑体"/>
          <w:kern w:val="0"/>
          <w:sz w:val="70"/>
          <w:szCs w:val="70"/>
        </w:rPr>
      </w:pPr>
      <w:r>
        <w:rPr>
          <w:sz w:val="70"/>
          <w:szCs w:val="70"/>
        </w:rPr>
        <w:br w:type="page"/>
      </w:r>
    </w:p>
    <w:p>
      <w:pPr>
        <w:pStyle w:val="00000b"/>
        <w:spacing w:line="560" w:lineRule="exact"/>
        <w:ind/>
        <w:rPr>
          <w:rFonts w:hAnsi="黑体"/>
          <w:b/>
          <w:color w:val="auto"/>
          <w:sz w:val="32"/>
          <w:szCs w:val="32"/>
        </w:rPr>
      </w:pPr>
      <w:r>
        <w:rPr>
          <w:rFonts w:hint="eastAsia" w:hAnsi="黑体"/>
          <w:b/>
          <w:color w:val="auto"/>
          <w:sz w:val="32"/>
          <w:szCs w:val="32"/>
        </w:rPr>
        <w:t>一、收入支出决算总体情况说明</w:t>
      </w:r>
    </w:p>
    <w:p>
      <w:pPr>
        <w:pStyle w:val="00000b"/>
        <w:spacing w:line="560" w:lineRule="exact"/>
        <w:ind w:firstLine="640" w:firstLineChars="200"/>
        <w:rPr>
          <w:rFonts w:hAnsi="黑体"/>
          <w:b/>
          <w:color w:val="auto"/>
          <w:sz w:val="32"/>
          <w:szCs w:val="32"/>
        </w:rPr>
      </w:pPr>
      <w:r>
        <w:rPr>
          <w:rFonts w:hint="eastAsia" w:asciiTheme="minorEastAsia" w:hAnsiTheme="minorEastAsia" w:eastAsiaTheme="minorEastAsia"/>
          <w:color w:val="auto"/>
          <w:sz w:val="32"/>
          <w:szCs w:val="32"/>
        </w:rPr>
        <w:t>2020年度收入总计9</w:t>
      </w:r>
      <w:r>
        <w:rPr>
          <w:rFonts w:asciiTheme="minorEastAsia" w:hAnsiTheme="minorEastAsia" w:eastAsiaTheme="minorEastAsia"/>
          <w:color w:val="auto"/>
          <w:sz w:val="32"/>
          <w:szCs w:val="32"/>
        </w:rPr>
        <w:t>723.54</w:t>
      </w:r>
      <w:r>
        <w:rPr>
          <w:rFonts w:hint="eastAsia" w:asciiTheme="minorEastAsia" w:hAnsiTheme="minorEastAsia" w:eastAsiaTheme="minorEastAsia"/>
          <w:color w:val="auto"/>
          <w:sz w:val="32"/>
          <w:szCs w:val="32"/>
        </w:rPr>
        <w:t>万元</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不含上年结转7</w:t>
      </w:r>
      <w:r>
        <w:rPr>
          <w:rFonts w:asciiTheme="minorEastAsia" w:hAnsiTheme="minorEastAsia" w:eastAsiaTheme="minorEastAsia"/>
          <w:color w:val="auto"/>
          <w:sz w:val="32"/>
          <w:szCs w:val="32"/>
        </w:rPr>
        <w:t>97.78</w:t>
      </w:r>
      <w:r>
        <w:rPr>
          <w:rFonts w:hint="eastAsia" w:asciiTheme="minorEastAsia" w:hAnsiTheme="minorEastAsia" w:eastAsiaTheme="minorEastAsia"/>
          <w:color w:val="auto"/>
          <w:sz w:val="32"/>
          <w:szCs w:val="32"/>
        </w:rPr>
        <w:t>万元)。</w:t>
      </w:r>
      <w:r>
        <w:rPr>
          <w:rFonts w:asciiTheme="minorEastAsia" w:hAnsiTheme="minorEastAsia" w:eastAsiaTheme="minorEastAsia"/>
          <w:color w:val="auto"/>
          <w:sz w:val="32"/>
          <w:szCs w:val="32"/>
        </w:rPr>
        <w:t>比上年</w:t>
      </w:r>
      <w:r>
        <w:rPr>
          <w:rFonts w:hint="eastAsia" w:asciiTheme="minorEastAsia" w:hAnsiTheme="minorEastAsia" w:eastAsiaTheme="minorEastAsia"/>
          <w:color w:val="auto"/>
          <w:sz w:val="32"/>
          <w:szCs w:val="32"/>
        </w:rPr>
        <w:t>9</w:t>
      </w:r>
      <w:r>
        <w:rPr>
          <w:rFonts w:asciiTheme="minorEastAsia" w:hAnsiTheme="minorEastAsia" w:eastAsiaTheme="minorEastAsia"/>
          <w:color w:val="auto"/>
          <w:sz w:val="32"/>
          <w:szCs w:val="32"/>
        </w:rPr>
        <w:t>715.87万元增加</w:t>
      </w:r>
      <w:r>
        <w:rPr>
          <w:rFonts w:hint="eastAsia" w:asciiTheme="minorEastAsia" w:hAnsiTheme="minorEastAsia" w:eastAsiaTheme="minorEastAsia"/>
          <w:color w:val="auto"/>
          <w:sz w:val="32"/>
          <w:szCs w:val="32"/>
        </w:rPr>
        <w:t>7</w:t>
      </w:r>
      <w:r>
        <w:rPr>
          <w:rFonts w:asciiTheme="minorEastAsia" w:hAnsiTheme="minorEastAsia" w:eastAsiaTheme="minorEastAsia"/>
          <w:color w:val="auto"/>
          <w:sz w:val="32"/>
          <w:szCs w:val="32"/>
        </w:rPr>
        <w:t>.67万元,增加</w:t>
      </w:r>
      <w:r>
        <w:rPr>
          <w:rFonts w:hint="eastAsia" w:asciiTheme="minorEastAsia" w:hAnsiTheme="minorEastAsia" w:eastAsiaTheme="minorEastAsia"/>
          <w:color w:val="auto"/>
          <w:sz w:val="32"/>
          <w:szCs w:val="32"/>
        </w:rPr>
        <w:t>0</w:t>
      </w:r>
      <w:r>
        <w:rPr>
          <w:rFonts w:asciiTheme="minorEastAsia" w:hAnsiTheme="minorEastAsia" w:eastAsiaTheme="minorEastAsia"/>
          <w:color w:val="auto"/>
          <w:sz w:val="32"/>
          <w:szCs w:val="32"/>
        </w:rPr>
        <w:t>.08%。总支出</w:t>
      </w:r>
      <w:r>
        <w:rPr>
          <w:rFonts w:hint="eastAsia" w:asciiTheme="minorEastAsia" w:hAnsiTheme="minorEastAsia" w:eastAsiaTheme="minorEastAsia"/>
          <w:color w:val="auto"/>
          <w:sz w:val="32"/>
          <w:szCs w:val="32"/>
        </w:rPr>
        <w:t>1</w:t>
      </w:r>
      <w:r>
        <w:rPr>
          <w:rFonts w:asciiTheme="minorEastAsia" w:hAnsiTheme="minorEastAsia" w:eastAsiaTheme="minorEastAsia"/>
          <w:color w:val="auto"/>
          <w:sz w:val="32"/>
          <w:szCs w:val="32"/>
        </w:rPr>
        <w:t>0346.32万元，比上年</w:t>
      </w:r>
      <w:r>
        <w:rPr>
          <w:rFonts w:hint="eastAsia" w:asciiTheme="minorEastAsia" w:hAnsiTheme="minorEastAsia" w:eastAsiaTheme="minorEastAsia"/>
          <w:color w:val="auto"/>
          <w:sz w:val="32"/>
          <w:szCs w:val="32"/>
        </w:rPr>
        <w:t>8</w:t>
      </w:r>
      <w:r>
        <w:rPr>
          <w:rFonts w:asciiTheme="minorEastAsia" w:hAnsiTheme="minorEastAsia" w:eastAsiaTheme="minorEastAsia"/>
          <w:color w:val="auto"/>
          <w:sz w:val="32"/>
          <w:szCs w:val="32"/>
        </w:rPr>
        <w:t>900.81万元增加</w:t>
      </w:r>
      <w:r>
        <w:rPr>
          <w:rFonts w:hint="eastAsia" w:asciiTheme="minorEastAsia" w:hAnsiTheme="minorEastAsia" w:eastAsiaTheme="minorEastAsia"/>
          <w:color w:val="auto"/>
          <w:sz w:val="32"/>
          <w:szCs w:val="32"/>
        </w:rPr>
        <w:t>1</w:t>
      </w:r>
      <w:r>
        <w:rPr>
          <w:rFonts w:asciiTheme="minorEastAsia" w:hAnsiTheme="minorEastAsia" w:eastAsiaTheme="minorEastAsia"/>
          <w:color w:val="auto"/>
          <w:sz w:val="32"/>
          <w:szCs w:val="32"/>
        </w:rPr>
        <w:t>445.51万元，增加</w:t>
      </w:r>
      <w:r>
        <w:rPr>
          <w:rFonts w:hint="eastAsia" w:asciiTheme="minorEastAsia" w:hAnsiTheme="minorEastAsia" w:eastAsiaTheme="minorEastAsia"/>
          <w:color w:val="auto"/>
          <w:sz w:val="32"/>
          <w:szCs w:val="32"/>
        </w:rPr>
        <w:t>1</w:t>
      </w:r>
      <w:r>
        <w:rPr>
          <w:rFonts w:asciiTheme="minorEastAsia" w:hAnsiTheme="minorEastAsia" w:eastAsiaTheme="minorEastAsia"/>
          <w:color w:val="auto"/>
          <w:sz w:val="32"/>
          <w:szCs w:val="32"/>
        </w:rPr>
        <w:t>6.24%，主要原因</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一是上年度财政结转结余资金较多，在本年形成支出，二是</w:t>
      </w:r>
      <w:r>
        <w:rPr>
          <w:rFonts w:hint="eastAsia" w:asciiTheme="minorEastAsia" w:hAnsiTheme="minorEastAsia" w:eastAsiaTheme="minorEastAsia"/>
          <w:color w:val="auto"/>
          <w:sz w:val="32"/>
          <w:szCs w:val="32"/>
        </w:rPr>
        <w:t>地勘单位改革资金增加</w:t>
      </w:r>
      <w:r>
        <w:rPr>
          <w:rFonts w:asciiTheme="minorEastAsia" w:hAnsiTheme="minorEastAsia" w:eastAsiaTheme="minorEastAsia"/>
          <w:color w:val="auto"/>
          <w:sz w:val="32"/>
          <w:szCs w:val="32"/>
        </w:rPr>
        <w:t>。</w:t>
      </w:r>
      <w:r>
        <w:rPr>
          <w:rFonts w:hAnsi="黑体"/>
          <w:b/>
          <w:color w:val="auto"/>
          <w:sz w:val="32"/>
          <w:szCs w:val="32"/>
        </w:rPr>
        <w:br w:type="textWrapping"/>
      </w:r>
      <w:r>
        <w:rPr>
          <w:rFonts w:hint="eastAsia" w:hAnsi="黑体"/>
          <w:b/>
          <w:color w:val="auto"/>
          <w:sz w:val="32"/>
          <w:szCs w:val="32"/>
        </w:rPr>
        <w:t>二、收入决算情况说明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本年收入合计9</w:t>
      </w:r>
      <w:r>
        <w:rPr>
          <w:rFonts w:asciiTheme="minorEastAsia" w:hAnsiTheme="minorEastAsia" w:eastAsiaTheme="minorEastAsia"/>
          <w:color w:val="auto"/>
          <w:sz w:val="32"/>
          <w:szCs w:val="32"/>
        </w:rPr>
        <w:t>723.54</w:t>
      </w:r>
      <w:r>
        <w:rPr>
          <w:rFonts w:hint="eastAsia" w:asciiTheme="minorEastAsia" w:hAnsiTheme="minorEastAsia" w:eastAsiaTheme="minorEastAsia"/>
          <w:color w:val="auto"/>
          <w:sz w:val="32"/>
          <w:szCs w:val="32"/>
        </w:rPr>
        <w:t>万元，其中：财政拨款收入4</w:t>
      </w:r>
      <w:r>
        <w:rPr>
          <w:rFonts w:asciiTheme="minorEastAsia" w:hAnsiTheme="minorEastAsia" w:eastAsiaTheme="minorEastAsia"/>
          <w:color w:val="auto"/>
          <w:sz w:val="32"/>
          <w:szCs w:val="32"/>
        </w:rPr>
        <w:t>725.27</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8.60</w:t>
      </w:r>
      <w:r>
        <w:rPr>
          <w:rFonts w:hint="eastAsia" w:asciiTheme="minorEastAsia" w:hAnsiTheme="minorEastAsia" w:eastAsiaTheme="minorEastAsia"/>
          <w:color w:val="auto"/>
          <w:sz w:val="32"/>
          <w:szCs w:val="32"/>
        </w:rPr>
        <w:t>%；经营收入4</w:t>
      </w:r>
      <w:r>
        <w:rPr>
          <w:rFonts w:asciiTheme="minorEastAsia" w:hAnsiTheme="minorEastAsia" w:eastAsiaTheme="minorEastAsia"/>
          <w:color w:val="auto"/>
          <w:sz w:val="32"/>
          <w:szCs w:val="32"/>
        </w:rPr>
        <w:t>998.27</w:t>
      </w:r>
      <w:r>
        <w:rPr>
          <w:rFonts w:hint="eastAsia" w:asciiTheme="minorEastAsia" w:hAnsiTheme="minorEastAsia" w:eastAsiaTheme="minorEastAsia"/>
          <w:color w:val="auto"/>
          <w:sz w:val="32"/>
          <w:szCs w:val="32"/>
        </w:rPr>
        <w:t>万元，占5</w:t>
      </w:r>
      <w:r>
        <w:rPr>
          <w:rFonts w:asciiTheme="minorEastAsia" w:hAnsiTheme="minorEastAsia" w:eastAsiaTheme="minorEastAsia"/>
          <w:color w:val="auto"/>
          <w:sz w:val="32"/>
          <w:szCs w:val="32"/>
        </w:rPr>
        <w:t>1.4</w:t>
      </w:r>
      <w:r>
        <w:rPr>
          <w:rFonts w:hint="eastAsia" w:asciiTheme="minorEastAsia" w:hAnsiTheme="minorEastAsia" w:eastAsiaTheme="minorEastAsia"/>
          <w:color w:val="auto"/>
          <w:sz w:val="32"/>
          <w:szCs w:val="32"/>
        </w:rPr>
        <w:t>%。</w:t>
      </w:r>
    </w:p>
    <w:p>
      <w:pPr>
        <w:pStyle w:val="00000b"/>
        <w:spacing w:line="560" w:lineRule="exact"/>
        <w:ind/>
        <w:rPr>
          <w:rFonts w:hAnsi="黑体"/>
          <w:b/>
          <w:color w:val="auto"/>
          <w:sz w:val="32"/>
          <w:szCs w:val="32"/>
        </w:rPr>
      </w:pPr>
      <w:r>
        <w:rPr>
          <w:rFonts w:hint="eastAsia" w:hAnsi="黑体"/>
          <w:b/>
          <w:color w:val="auto"/>
          <w:sz w:val="32"/>
          <w:szCs w:val="32"/>
        </w:rPr>
        <w:t>三、支出决算情况说明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本年支出合计1</w:t>
      </w:r>
      <w:r>
        <w:rPr>
          <w:rFonts w:asciiTheme="minorEastAsia" w:hAnsiTheme="minorEastAsia" w:eastAsiaTheme="minorEastAsia"/>
          <w:color w:val="auto"/>
          <w:sz w:val="32"/>
          <w:szCs w:val="32"/>
        </w:rPr>
        <w:t>0346.32</w:t>
      </w:r>
      <w:r>
        <w:rPr>
          <w:rFonts w:hint="eastAsia" w:asciiTheme="minorEastAsia" w:hAnsiTheme="minorEastAsia" w:eastAsiaTheme="minorEastAsia"/>
          <w:color w:val="auto"/>
          <w:sz w:val="32"/>
          <w:szCs w:val="32"/>
        </w:rPr>
        <w:t>万元，其中：基本支出4</w:t>
      </w:r>
      <w:r>
        <w:rPr>
          <w:rFonts w:asciiTheme="minorEastAsia" w:hAnsiTheme="minorEastAsia" w:eastAsiaTheme="minorEastAsia"/>
          <w:color w:val="auto"/>
          <w:sz w:val="32"/>
          <w:szCs w:val="32"/>
        </w:rPr>
        <w:t>893.87</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7.3</w:t>
      </w:r>
      <w:r>
        <w:rPr>
          <w:rFonts w:hint="eastAsia" w:asciiTheme="minorEastAsia" w:hAnsiTheme="minorEastAsia" w:eastAsiaTheme="minorEastAsia"/>
          <w:color w:val="auto"/>
          <w:sz w:val="32"/>
          <w:szCs w:val="32"/>
        </w:rPr>
        <w:t>%；项目支出5</w:t>
      </w:r>
      <w:r>
        <w:rPr>
          <w:rFonts w:asciiTheme="minorEastAsia" w:hAnsiTheme="minorEastAsia" w:eastAsiaTheme="minorEastAsia"/>
          <w:color w:val="auto"/>
          <w:sz w:val="32"/>
          <w:szCs w:val="32"/>
        </w:rPr>
        <w:t>06.28</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.89</w:t>
      </w:r>
      <w:r>
        <w:rPr>
          <w:rFonts w:hint="eastAsia" w:asciiTheme="minorEastAsia" w:hAnsiTheme="minorEastAsia" w:eastAsiaTheme="minorEastAsia"/>
          <w:color w:val="auto"/>
          <w:sz w:val="32"/>
          <w:szCs w:val="32"/>
        </w:rPr>
        <w:t>%；经营支出4</w:t>
      </w:r>
      <w:r>
        <w:rPr>
          <w:rFonts w:asciiTheme="minorEastAsia" w:hAnsiTheme="minorEastAsia" w:eastAsiaTheme="minorEastAsia"/>
          <w:color w:val="auto"/>
          <w:sz w:val="32"/>
          <w:szCs w:val="32"/>
        </w:rPr>
        <w:t>946.17</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7.81</w:t>
      </w:r>
      <w:r>
        <w:rPr>
          <w:rFonts w:hint="eastAsia" w:asciiTheme="minorEastAsia" w:hAnsiTheme="minorEastAsia" w:eastAsiaTheme="minorEastAsia"/>
          <w:color w:val="auto"/>
          <w:sz w:val="32"/>
          <w:szCs w:val="32"/>
        </w:rPr>
        <w:t>%。</w:t>
      </w:r>
    </w:p>
    <w:p>
      <w:pPr>
        <w:pStyle w:val="00000b"/>
        <w:spacing w:line="560" w:lineRule="exact"/>
        <w:ind/>
        <w:rPr>
          <w:rFonts w:hAnsi="黑体"/>
          <w:b/>
          <w:color w:val="auto"/>
          <w:sz w:val="32"/>
          <w:szCs w:val="32"/>
        </w:rPr>
      </w:pPr>
      <w:r>
        <w:rPr>
          <w:rFonts w:hint="eastAsia" w:hAnsi="黑体"/>
          <w:b/>
          <w:color w:val="auto"/>
          <w:sz w:val="32"/>
          <w:szCs w:val="32"/>
        </w:rPr>
        <w:t>四、财政拨款收入支出决算总体情况说明</w:t>
      </w:r>
    </w:p>
    <w:p>
      <w:pPr>
        <w:pStyle w:val="00000b"/>
        <w:spacing w:line="560" w:lineRule="exact"/>
        <w:ind w:firstLine="645"/>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2020</w:t>
      </w:r>
      <w:r>
        <w:rPr>
          <w:rFonts w:hint="eastAsia" w:asciiTheme="minorEastAsia" w:hAnsiTheme="minorEastAsia" w:eastAsiaTheme="minorEastAsia"/>
          <w:color w:val="auto"/>
          <w:sz w:val="32"/>
          <w:szCs w:val="32"/>
        </w:rPr>
        <w:t>年度财政拨款收入4</w:t>
      </w:r>
      <w:r>
        <w:rPr>
          <w:rFonts w:asciiTheme="minorEastAsia" w:hAnsiTheme="minorEastAsia" w:eastAsiaTheme="minorEastAsia"/>
          <w:color w:val="auto"/>
          <w:sz w:val="32"/>
          <w:szCs w:val="32"/>
        </w:rPr>
        <w:t>725.27</w:t>
      </w:r>
      <w:r>
        <w:rPr>
          <w:rFonts w:hint="eastAsia" w:asciiTheme="minorEastAsia" w:hAnsiTheme="minorEastAsia" w:eastAsiaTheme="minorEastAsia"/>
          <w:color w:val="auto"/>
          <w:sz w:val="32"/>
          <w:szCs w:val="32"/>
        </w:rPr>
        <w:t>万元（不含上年结转7</w:t>
      </w:r>
      <w:r>
        <w:rPr>
          <w:rFonts w:asciiTheme="minorEastAsia" w:hAnsiTheme="minorEastAsia" w:eastAsiaTheme="minorEastAsia"/>
          <w:color w:val="auto"/>
          <w:sz w:val="32"/>
          <w:szCs w:val="32"/>
        </w:rPr>
        <w:t>97.78</w:t>
      </w:r>
      <w:r>
        <w:rPr>
          <w:rFonts w:hint="eastAsia" w:asciiTheme="minorEastAsia" w:hAnsiTheme="minorEastAsia" w:eastAsiaTheme="minorEastAsia"/>
          <w:color w:val="auto"/>
          <w:sz w:val="32"/>
          <w:szCs w:val="32"/>
        </w:rPr>
        <w:t>万元），与上年相比增加7</w:t>
      </w:r>
      <w:r>
        <w:rPr>
          <w:rFonts w:asciiTheme="minorEastAsia" w:hAnsiTheme="minorEastAsia" w:eastAsiaTheme="minorEastAsia"/>
          <w:color w:val="auto"/>
          <w:sz w:val="32"/>
          <w:szCs w:val="32"/>
        </w:rPr>
        <w:t>3.99</w:t>
      </w:r>
      <w:r>
        <w:rPr>
          <w:rFonts w:hint="eastAsia" w:asciiTheme="minorEastAsia" w:hAnsiTheme="minorEastAsia" w:eastAsiaTheme="minorEastAsia"/>
          <w:color w:val="auto"/>
          <w:sz w:val="32"/>
          <w:szCs w:val="32"/>
        </w:rPr>
        <w:t>万元，增加1</w:t>
      </w:r>
      <w:r>
        <w:rPr>
          <w:rFonts w:asciiTheme="minorEastAsia" w:hAnsiTheme="minorEastAsia" w:eastAsiaTheme="minorEastAsia"/>
          <w:color w:val="auto"/>
          <w:sz w:val="32"/>
          <w:szCs w:val="32"/>
        </w:rPr>
        <w:t>.59%</w:t>
      </w:r>
      <w:r>
        <w:rPr>
          <w:rFonts w:hint="eastAsia" w:asciiTheme="minorEastAsia" w:hAnsiTheme="minorEastAsia" w:eastAsiaTheme="minorEastAsia"/>
          <w:color w:val="auto"/>
          <w:sz w:val="32"/>
          <w:szCs w:val="32"/>
        </w:rPr>
        <w:t>，主要原因是增加了项目资金。</w:t>
      </w:r>
    </w:p>
    <w:p>
      <w:pPr>
        <w:pStyle w:val="00000b"/>
        <w:spacing w:line="560" w:lineRule="exact"/>
        <w:ind w:firstLine="645"/>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2020</w:t>
      </w:r>
      <w:r>
        <w:rPr>
          <w:rFonts w:hint="eastAsia" w:asciiTheme="minorEastAsia" w:hAnsiTheme="minorEastAsia" w:eastAsiaTheme="minorEastAsia"/>
          <w:color w:val="auto"/>
          <w:sz w:val="32"/>
          <w:szCs w:val="32"/>
        </w:rPr>
        <w:t>年度财政拨款支出5</w:t>
      </w:r>
      <w:r>
        <w:rPr>
          <w:rFonts w:asciiTheme="minorEastAsia" w:hAnsiTheme="minorEastAsia" w:eastAsiaTheme="minorEastAsia"/>
          <w:color w:val="auto"/>
          <w:sz w:val="32"/>
          <w:szCs w:val="32"/>
        </w:rPr>
        <w:t>400.15</w:t>
      </w:r>
      <w:r>
        <w:rPr>
          <w:rFonts w:hint="eastAsia" w:asciiTheme="minorEastAsia" w:hAnsiTheme="minorEastAsia" w:eastAsiaTheme="minorEastAsia"/>
          <w:color w:val="auto"/>
          <w:sz w:val="32"/>
          <w:szCs w:val="32"/>
        </w:rPr>
        <w:t>万元，与上年相比增加1</w:t>
      </w:r>
      <w:r>
        <w:rPr>
          <w:rFonts w:asciiTheme="minorEastAsia" w:hAnsiTheme="minorEastAsia" w:eastAsiaTheme="minorEastAsia"/>
          <w:color w:val="auto"/>
          <w:sz w:val="32"/>
          <w:szCs w:val="32"/>
        </w:rPr>
        <w:t>510.61</w:t>
      </w:r>
      <w:r>
        <w:rPr>
          <w:rFonts w:hint="eastAsia" w:asciiTheme="minorEastAsia" w:hAnsiTheme="minorEastAsia" w:eastAsiaTheme="minorEastAsia"/>
          <w:color w:val="auto"/>
          <w:sz w:val="32"/>
          <w:szCs w:val="32"/>
        </w:rPr>
        <w:t>万元，增长3</w:t>
      </w:r>
      <w:r>
        <w:rPr>
          <w:rFonts w:asciiTheme="minorEastAsia" w:hAnsiTheme="minorEastAsia" w:eastAsiaTheme="minorEastAsia"/>
          <w:color w:val="auto"/>
          <w:sz w:val="32"/>
          <w:szCs w:val="32"/>
        </w:rPr>
        <w:t>8.84%</w:t>
      </w:r>
      <w:r>
        <w:rPr>
          <w:rFonts w:hint="eastAsia" w:asciiTheme="minorEastAsia" w:hAnsiTheme="minorEastAsia" w:eastAsiaTheme="minorEastAsia"/>
          <w:color w:val="auto"/>
          <w:sz w:val="32"/>
          <w:szCs w:val="32"/>
        </w:rPr>
        <w:t>，主要是上年结转综治奖及本年增加项目指标并在本年形成支出。</w:t>
      </w:r>
    </w:p>
    <w:p>
      <w:pPr>
        <w:pStyle w:val="00000b"/>
        <w:spacing w:line="560" w:lineRule="exact"/>
        <w:ind/>
        <w:rPr>
          <w:rFonts w:hAnsi="黑体"/>
          <w:b/>
          <w:color w:val="auto"/>
          <w:sz w:val="32"/>
          <w:szCs w:val="32"/>
        </w:rPr>
      </w:pPr>
      <w:r>
        <w:rPr>
          <w:rFonts w:hint="eastAsia" w:hAnsi="黑体"/>
          <w:b/>
          <w:color w:val="auto"/>
          <w:sz w:val="32"/>
          <w:szCs w:val="32"/>
        </w:rPr>
        <w:t>五、一般公共预算财政拨款支出决算情况说明</w:t>
      </w:r>
    </w:p>
    <w:p>
      <w:pPr>
        <w:pStyle w:val="00000b"/>
        <w:spacing w:line="560" w:lineRule="exact"/>
        <w:ind w:firstLine="643"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2020年度财政拨款支出5</w:t>
      </w:r>
      <w:r>
        <w:rPr>
          <w:rFonts w:asciiTheme="minorEastAsia" w:hAnsiTheme="minorEastAsia" w:eastAsiaTheme="minorEastAsia"/>
          <w:color w:val="auto"/>
          <w:sz w:val="32"/>
          <w:szCs w:val="32"/>
        </w:rPr>
        <w:t>400.15</w:t>
      </w:r>
      <w:r>
        <w:rPr>
          <w:rFonts w:hint="eastAsia" w:asciiTheme="minorEastAsia" w:hAnsiTheme="minorEastAsia" w:eastAsiaTheme="minorEastAsia"/>
          <w:color w:val="auto"/>
          <w:sz w:val="32"/>
          <w:szCs w:val="32"/>
        </w:rPr>
        <w:t>万元，占本年支出合计的5</w:t>
      </w:r>
      <w:r>
        <w:rPr>
          <w:rFonts w:asciiTheme="minorEastAsia" w:hAnsiTheme="minorEastAsia" w:eastAsiaTheme="minorEastAsia"/>
          <w:color w:val="auto"/>
          <w:sz w:val="32"/>
          <w:szCs w:val="32"/>
        </w:rPr>
        <w:t>2.19</w:t>
      </w:r>
      <w:r>
        <w:rPr>
          <w:rFonts w:hint="eastAsia" w:asciiTheme="minorEastAsia" w:hAnsiTheme="minorEastAsia" w:eastAsiaTheme="minorEastAsia"/>
          <w:color w:val="auto"/>
          <w:sz w:val="32"/>
          <w:szCs w:val="32"/>
        </w:rPr>
        <w:t>%，与上年相比，财政拨款支出增加1</w:t>
      </w:r>
      <w:r>
        <w:rPr>
          <w:rFonts w:asciiTheme="minorEastAsia" w:hAnsiTheme="minorEastAsia" w:eastAsiaTheme="minorEastAsia"/>
          <w:color w:val="auto"/>
          <w:sz w:val="32"/>
          <w:szCs w:val="32"/>
        </w:rPr>
        <w:t>510.61</w:t>
      </w:r>
      <w:r>
        <w:rPr>
          <w:rFonts w:hint="eastAsia" w:asciiTheme="minorEastAsia" w:hAnsiTheme="minorEastAsia" w:eastAsiaTheme="minorEastAsia"/>
          <w:color w:val="auto"/>
          <w:sz w:val="32"/>
          <w:szCs w:val="32"/>
        </w:rPr>
        <w:t>万元，增长3</w:t>
      </w:r>
      <w:r>
        <w:rPr>
          <w:rFonts w:asciiTheme="minorEastAsia" w:hAnsiTheme="minorEastAsia" w:eastAsiaTheme="minorEastAsia"/>
          <w:color w:val="auto"/>
          <w:sz w:val="32"/>
          <w:szCs w:val="32"/>
        </w:rPr>
        <w:t>8.84</w:t>
      </w:r>
      <w:r>
        <w:rPr>
          <w:rFonts w:hint="eastAsia" w:asciiTheme="minorEastAsia" w:hAnsiTheme="minorEastAsia" w:eastAsiaTheme="minorEastAsia"/>
          <w:color w:val="auto"/>
          <w:sz w:val="32"/>
          <w:szCs w:val="32"/>
        </w:rPr>
        <w:t>%，主要是：2</w:t>
      </w:r>
      <w:r>
        <w:rPr>
          <w:rFonts w:asciiTheme="minorEastAsia" w:hAnsiTheme="minorEastAsia" w:eastAsiaTheme="minorEastAsia"/>
          <w:color w:val="auto"/>
          <w:sz w:val="32"/>
          <w:szCs w:val="32"/>
        </w:rPr>
        <w:t>019</w:t>
      </w:r>
      <w:r>
        <w:rPr>
          <w:rFonts w:hint="eastAsia" w:asciiTheme="minorEastAsia" w:hAnsiTheme="minorEastAsia" w:eastAsiaTheme="minorEastAsia"/>
          <w:color w:val="auto"/>
          <w:sz w:val="32"/>
          <w:szCs w:val="32"/>
        </w:rPr>
        <w:t>年综治奖在2</w:t>
      </w:r>
      <w:r>
        <w:rPr>
          <w:rFonts w:asciiTheme="minorEastAsia" w:hAnsiTheme="minorEastAsia" w:eastAsiaTheme="minorEastAsia"/>
          <w:color w:val="auto"/>
          <w:sz w:val="32"/>
          <w:szCs w:val="32"/>
        </w:rPr>
        <w:t>020</w:t>
      </w:r>
      <w:r>
        <w:rPr>
          <w:rFonts w:hint="eastAsia" w:asciiTheme="minorEastAsia" w:hAnsiTheme="minorEastAsia" w:eastAsiaTheme="minorEastAsia"/>
          <w:color w:val="auto"/>
          <w:sz w:val="32"/>
          <w:szCs w:val="32"/>
        </w:rPr>
        <w:t>年发放；增加地灾项目、国情项目款；增加地勘事业单位改革发展资金等。</w:t>
      </w:r>
    </w:p>
    <w:p>
      <w:pPr>
        <w:pStyle w:val="00000b"/>
        <w:spacing w:line="560" w:lineRule="exact"/>
        <w:ind w:firstLine="803" w:firstLineChars="250"/>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（二）财政拨款支出决算结构情况</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2020年度财政拨款支出5</w:t>
      </w:r>
      <w:r>
        <w:rPr>
          <w:rFonts w:asciiTheme="minorEastAsia" w:hAnsiTheme="minorEastAsia" w:eastAsiaTheme="minorEastAsia"/>
          <w:color w:val="auto"/>
          <w:sz w:val="32"/>
          <w:szCs w:val="32"/>
        </w:rPr>
        <w:t>400.15</w:t>
      </w:r>
      <w:r>
        <w:rPr>
          <w:rFonts w:hint="eastAsia" w:asciiTheme="minorEastAsia" w:hAnsiTheme="minorEastAsia" w:eastAsiaTheme="minorEastAsia"/>
          <w:color w:val="auto"/>
          <w:sz w:val="32"/>
          <w:szCs w:val="32"/>
        </w:rPr>
        <w:t>万元，主要用于以下方面：教育（类）支出1</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万元，占0</w:t>
      </w:r>
      <w:r>
        <w:rPr>
          <w:rFonts w:asciiTheme="minorEastAsia" w:hAnsiTheme="minorEastAsia" w:eastAsiaTheme="minorEastAsia"/>
          <w:color w:val="auto"/>
          <w:sz w:val="32"/>
          <w:szCs w:val="32"/>
        </w:rPr>
        <w:t>.19</w:t>
      </w:r>
      <w:r>
        <w:rPr>
          <w:rFonts w:hint="eastAsia" w:asciiTheme="minorEastAsia" w:hAnsiTheme="minorEastAsia" w:eastAsiaTheme="minorEastAsia"/>
          <w:color w:val="auto"/>
          <w:sz w:val="32"/>
          <w:szCs w:val="32"/>
        </w:rPr>
        <w:t>%;社会保障和就业（类）支出5</w:t>
      </w:r>
      <w:r>
        <w:rPr>
          <w:rFonts w:asciiTheme="minorEastAsia" w:hAnsiTheme="minorEastAsia" w:eastAsiaTheme="minorEastAsia"/>
          <w:color w:val="auto"/>
          <w:sz w:val="32"/>
          <w:szCs w:val="32"/>
        </w:rPr>
        <w:t>93</w:t>
      </w:r>
      <w:r>
        <w:rPr>
          <w:rFonts w:hint="eastAsia" w:asciiTheme="minorEastAsia" w:hAnsiTheme="minorEastAsia" w:eastAsiaTheme="minorEastAsia"/>
          <w:color w:val="auto"/>
          <w:sz w:val="32"/>
          <w:szCs w:val="32"/>
        </w:rPr>
        <w:t>万元，占1</w:t>
      </w:r>
      <w:r>
        <w:rPr>
          <w:rFonts w:asciiTheme="minorEastAsia" w:hAnsiTheme="minorEastAsia" w:eastAsiaTheme="minorEastAsia"/>
          <w:color w:val="auto"/>
          <w:sz w:val="32"/>
          <w:szCs w:val="32"/>
        </w:rPr>
        <w:t>0.98</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卫生健康（类）支出2</w:t>
      </w:r>
      <w:r>
        <w:rPr>
          <w:rFonts w:asciiTheme="minorEastAsia" w:hAnsiTheme="minorEastAsia" w:eastAsiaTheme="minorEastAsia"/>
          <w:color w:val="auto"/>
          <w:sz w:val="32"/>
          <w:szCs w:val="32"/>
        </w:rPr>
        <w:t>62</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.85</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资源勘探工业信息等（类）支出1</w:t>
      </w:r>
      <w:r>
        <w:rPr>
          <w:rFonts w:asciiTheme="minorEastAsia" w:hAnsiTheme="minorEastAsia" w:eastAsiaTheme="minorEastAsia"/>
          <w:color w:val="auto"/>
          <w:sz w:val="32"/>
          <w:szCs w:val="32"/>
        </w:rPr>
        <w:t>611.58</w:t>
      </w:r>
      <w:r>
        <w:rPr>
          <w:rFonts w:hint="eastAsia" w:asciiTheme="minorEastAsia" w:hAnsiTheme="minorEastAsia" w:eastAsiaTheme="minorEastAsia"/>
          <w:color w:val="auto"/>
          <w:sz w:val="32"/>
          <w:szCs w:val="32"/>
        </w:rPr>
        <w:t>万元，占2</w:t>
      </w:r>
      <w:r>
        <w:rPr>
          <w:rFonts w:asciiTheme="minorEastAsia" w:hAnsiTheme="minorEastAsia" w:eastAsiaTheme="minorEastAsia"/>
          <w:color w:val="auto"/>
          <w:sz w:val="32"/>
          <w:szCs w:val="32"/>
        </w:rPr>
        <w:t>9.85</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自然资源海洋气象等（类）支出2</w:t>
      </w:r>
      <w:r>
        <w:rPr>
          <w:rFonts w:asciiTheme="minorEastAsia" w:hAnsiTheme="minorEastAsia" w:eastAsiaTheme="minorEastAsia"/>
          <w:color w:val="auto"/>
          <w:sz w:val="32"/>
          <w:szCs w:val="32"/>
        </w:rPr>
        <w:t>616.47</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8.45</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住房保障（类）2</w:t>
      </w:r>
      <w:r>
        <w:rPr>
          <w:rFonts w:asciiTheme="minorEastAsia" w:hAnsiTheme="minorEastAsia" w:eastAsiaTheme="minorEastAsia"/>
          <w:color w:val="auto"/>
          <w:sz w:val="32"/>
          <w:szCs w:val="32"/>
        </w:rPr>
        <w:t>60</w:t>
      </w:r>
      <w:r>
        <w:rPr>
          <w:rFonts w:hint="eastAsia" w:asciiTheme="minorEastAsia" w:hAnsiTheme="minorEastAsia" w:eastAsiaTheme="minorEastAsia"/>
          <w:color w:val="auto"/>
          <w:sz w:val="32"/>
          <w:szCs w:val="32"/>
        </w:rPr>
        <w:t>万元，占4</w:t>
      </w:r>
      <w:r>
        <w:rPr>
          <w:rFonts w:asciiTheme="minorEastAsia" w:hAnsiTheme="minorEastAsia" w:eastAsiaTheme="minorEastAsia"/>
          <w:color w:val="auto"/>
          <w:sz w:val="32"/>
          <w:szCs w:val="32"/>
        </w:rPr>
        <w:t>.81</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灾害防治及应急管理（类）支出4</w:t>
      </w:r>
      <w:r>
        <w:rPr>
          <w:rFonts w:asciiTheme="minorEastAsia" w:hAnsiTheme="minorEastAsia" w:eastAsiaTheme="minorEastAsia"/>
          <w:color w:val="auto"/>
          <w:sz w:val="32"/>
          <w:szCs w:val="32"/>
        </w:rPr>
        <w:t>7.1</w:t>
      </w:r>
      <w:r>
        <w:rPr>
          <w:rFonts w:hint="eastAsia" w:asciiTheme="minorEastAsia" w:hAnsiTheme="minorEastAsia" w:eastAsiaTheme="minorEastAsia"/>
          <w:color w:val="auto"/>
          <w:sz w:val="32"/>
          <w:szCs w:val="32"/>
        </w:rPr>
        <w:t>万元，占0</w:t>
      </w:r>
      <w:r>
        <w:rPr>
          <w:rFonts w:asciiTheme="minorEastAsia" w:hAnsiTheme="minorEastAsia" w:eastAsiaTheme="minorEastAsia"/>
          <w:color w:val="auto"/>
          <w:sz w:val="32"/>
          <w:szCs w:val="32"/>
        </w:rPr>
        <w:t>.87</w:t>
      </w:r>
      <w:r>
        <w:rPr>
          <w:rFonts w:hint="eastAsia" w:asciiTheme="minorEastAsia" w:hAnsiTheme="minorEastAsia" w:eastAsiaTheme="minorEastAsia"/>
          <w:color w:val="auto"/>
          <w:sz w:val="32"/>
          <w:szCs w:val="32"/>
        </w:rPr>
        <w:t>%。</w:t>
      </w:r>
    </w:p>
    <w:p>
      <w:pPr>
        <w:pStyle w:val="00000b"/>
        <w:spacing w:line="560" w:lineRule="exact"/>
        <w:ind w:firstLine="803"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2020年度财政拨款支出年初预算数为3</w:t>
      </w:r>
      <w:r>
        <w:rPr>
          <w:rFonts w:asciiTheme="minorEastAsia" w:hAnsiTheme="minorEastAsia" w:eastAsiaTheme="minorEastAsia"/>
          <w:color w:val="auto"/>
          <w:sz w:val="32"/>
          <w:szCs w:val="32"/>
        </w:rPr>
        <w:t>696.47</w:t>
      </w:r>
      <w:r>
        <w:rPr>
          <w:rFonts w:hint="eastAsia" w:asciiTheme="minorEastAsia" w:hAnsiTheme="minorEastAsia" w:eastAsiaTheme="minorEastAsia"/>
          <w:color w:val="auto"/>
          <w:sz w:val="32"/>
          <w:szCs w:val="32"/>
        </w:rPr>
        <w:t>万元，支出决算数为5</w:t>
      </w:r>
      <w:r>
        <w:rPr>
          <w:rFonts w:asciiTheme="minorEastAsia" w:hAnsiTheme="minorEastAsia" w:eastAsiaTheme="minorEastAsia"/>
          <w:color w:val="auto"/>
          <w:sz w:val="32"/>
          <w:szCs w:val="32"/>
        </w:rPr>
        <w:t>400.15</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46.09</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财政拨款决算支出数较年初部门预算数增长</w:t>
      </w:r>
      <w:r>
        <w:rPr>
          <w:rFonts w:hint="eastAsia" w:asciiTheme="minorEastAsia" w:hAnsiTheme="minorEastAsia" w:eastAsiaTheme="minorEastAsia"/>
          <w:color w:val="auto"/>
          <w:sz w:val="32"/>
          <w:szCs w:val="32"/>
        </w:rPr>
        <w:t>4</w:t>
      </w:r>
      <w:r>
        <w:rPr>
          <w:rFonts w:asciiTheme="minorEastAsia" w:hAnsiTheme="minorEastAsia" w:eastAsiaTheme="minorEastAsia"/>
          <w:color w:val="auto"/>
          <w:sz w:val="32"/>
          <w:szCs w:val="32"/>
        </w:rPr>
        <w:t>6.09%，原因主要为本年年中下达的地勘项目专项资金及改革发展资金等。</w:t>
      </w:r>
      <w:r>
        <w:rPr>
          <w:rFonts w:hint="eastAsia" w:asciiTheme="minorEastAsia" w:hAnsiTheme="minorEastAsia" w:eastAsiaTheme="minorEastAsia"/>
          <w:color w:val="auto"/>
          <w:sz w:val="32"/>
          <w:szCs w:val="32"/>
        </w:rPr>
        <w:t>其中：</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1、教育（类）进修及培训（款）培训支出（项）。</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万元，支出决算为1</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%，决算数与预算数的持平。</w:t>
      </w:r>
    </w:p>
    <w:p>
      <w:pPr>
        <w:widowControl/>
        <w:spacing w:line="560" w:lineRule="exact"/>
        <w:ind w:firstLine="800" w:firstLineChars="250"/>
        <w:jc w:val="left"/>
        <w:rPr>
          <w:rFonts w:asciiTheme="minorEastAsia" w:hAnsiTheme="minorEastAsia"/>
          <w:sz w:val="32"/>
          <w:szCs w:val="32"/>
        </w:rPr>
      </w:pPr>
      <w:r>
        <w:rPr>
          <w:rFonts w:hint="eastAsia" w:asciiTheme="minorEastAsia" w:hAnsiTheme="minorEastAsia"/>
          <w:sz w:val="32"/>
          <w:szCs w:val="32"/>
        </w:rPr>
        <w:t>2、社会保障和就业支出（类）行政事业单位养老支出（款）机关事业单位基本养老保险缴费支出（项）。</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w:t>
      </w:r>
      <w:r>
        <w:rPr>
          <w:rFonts w:asciiTheme="minorEastAsia" w:hAnsiTheme="minorEastAsia" w:eastAsiaTheme="minorEastAsia"/>
          <w:color w:val="auto"/>
          <w:sz w:val="32"/>
          <w:szCs w:val="32"/>
        </w:rPr>
        <w:t>93</w:t>
      </w:r>
      <w:r>
        <w:rPr>
          <w:rFonts w:hint="eastAsia" w:asciiTheme="minorEastAsia" w:hAnsiTheme="minorEastAsia" w:eastAsiaTheme="minorEastAsia"/>
          <w:color w:val="auto"/>
          <w:sz w:val="32"/>
          <w:szCs w:val="32"/>
        </w:rPr>
        <w:t>万元，支出决算为5</w:t>
      </w:r>
      <w:r>
        <w:rPr>
          <w:rFonts w:asciiTheme="minorEastAsia" w:hAnsiTheme="minorEastAsia" w:eastAsiaTheme="minorEastAsia"/>
          <w:color w:val="auto"/>
          <w:sz w:val="32"/>
          <w:szCs w:val="32"/>
        </w:rPr>
        <w:t>93</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%，决算数与预算数持平。</w:t>
      </w:r>
    </w:p>
    <w:p>
      <w:pPr>
        <w:widowControl/>
        <w:spacing w:line="560" w:lineRule="exact"/>
        <w:ind w:firstLine="800" w:firstLineChars="250"/>
        <w:jc w:val="left"/>
        <w:rPr>
          <w:rFonts w:cs="黑体" w:asciiTheme="minorEastAsia" w:hAnsiTheme="minorEastAsia"/>
          <w:kern w:val="0"/>
          <w:sz w:val="32"/>
          <w:szCs w:val="32"/>
        </w:rPr>
      </w:pPr>
      <w:r>
        <w:rPr>
          <w:rFonts w:hint="eastAsia" w:asciiTheme="minorEastAsia" w:hAnsiTheme="minorEastAsia"/>
          <w:sz w:val="32"/>
          <w:szCs w:val="32"/>
        </w:rPr>
        <w:t>3、</w:t>
      </w:r>
      <w:r>
        <w:rPr>
          <w:rFonts w:hint="eastAsia" w:cs="黑体" w:asciiTheme="minorEastAsia" w:hAnsiTheme="minorEastAsia"/>
          <w:kern w:val="0"/>
          <w:sz w:val="32"/>
          <w:szCs w:val="32"/>
        </w:rPr>
        <w:t>卫生健康支出（类）行政事业单位医疗（款）  事业单位医疗（项）。</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w:t>
      </w:r>
      <w:r>
        <w:rPr>
          <w:rFonts w:asciiTheme="minorEastAsia" w:hAnsiTheme="minorEastAsia" w:eastAsiaTheme="minorEastAsia"/>
          <w:color w:val="auto"/>
          <w:sz w:val="32"/>
          <w:szCs w:val="32"/>
        </w:rPr>
        <w:t>62</w:t>
      </w:r>
      <w:r>
        <w:rPr>
          <w:rFonts w:hint="eastAsia" w:asciiTheme="minorEastAsia" w:hAnsiTheme="minorEastAsia" w:eastAsiaTheme="minorEastAsia"/>
          <w:color w:val="auto"/>
          <w:sz w:val="32"/>
          <w:szCs w:val="32"/>
        </w:rPr>
        <w:t>万元，支出决算为2</w:t>
      </w:r>
      <w:r>
        <w:rPr>
          <w:rFonts w:asciiTheme="minorEastAsia" w:hAnsiTheme="minorEastAsia" w:eastAsiaTheme="minorEastAsia"/>
          <w:color w:val="auto"/>
          <w:sz w:val="32"/>
          <w:szCs w:val="32"/>
        </w:rPr>
        <w:t>62</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%，决算数与预算数持平。</w:t>
      </w:r>
    </w:p>
    <w:p>
      <w:pPr>
        <w:widowControl/>
        <w:spacing w:line="560" w:lineRule="exact"/>
        <w:ind w:firstLine="800" w:firstLineChars="250"/>
        <w:jc w:val="left"/>
        <w:rPr>
          <w:rFonts w:cs="黑体" w:asciiTheme="minorEastAsia" w:hAnsiTheme="minorEastAsia"/>
          <w:kern w:val="0"/>
          <w:sz w:val="32"/>
          <w:szCs w:val="32"/>
        </w:rPr>
      </w:pPr>
      <w:r>
        <w:rPr>
          <w:rFonts w:hint="eastAsia" w:cs="黑体" w:asciiTheme="minorEastAsia" w:hAnsiTheme="minorEastAsia"/>
          <w:kern w:val="0"/>
          <w:sz w:val="32"/>
          <w:szCs w:val="32"/>
        </w:rPr>
        <w:t>4、资源勘探工业信息等支出（类）资源勘探开发（款）  其他资源勘探业支出（项）。</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年初预算为0万元，支出决算为1</w:t>
      </w:r>
      <w:r>
        <w:rPr>
          <w:rFonts w:asciiTheme="minorEastAsia" w:hAnsiTheme="minorEastAsia" w:eastAsiaTheme="minorEastAsia"/>
          <w:color w:val="auto"/>
          <w:sz w:val="32"/>
          <w:szCs w:val="32"/>
        </w:rPr>
        <w:t>611.58</w:t>
      </w:r>
      <w:r>
        <w:rPr>
          <w:rFonts w:hint="eastAsia" w:asciiTheme="minorEastAsia" w:hAnsiTheme="minorEastAsia" w:eastAsiaTheme="minorEastAsia"/>
          <w:color w:val="auto"/>
          <w:sz w:val="32"/>
          <w:szCs w:val="32"/>
        </w:rPr>
        <w:t>万元，决算数大于年初预算数的主要原因是年中下达了地勘单位改革发展基金、基地改造及2</w:t>
      </w:r>
      <w:r>
        <w:rPr>
          <w:rFonts w:asciiTheme="minorEastAsia" w:hAnsiTheme="minorEastAsia" w:eastAsiaTheme="minorEastAsia"/>
          <w:color w:val="auto"/>
          <w:sz w:val="32"/>
          <w:szCs w:val="32"/>
        </w:rPr>
        <w:t>020</w:t>
      </w:r>
      <w:r>
        <w:rPr>
          <w:rFonts w:hint="eastAsia" w:asciiTheme="minorEastAsia" w:hAnsiTheme="minorEastAsia" w:eastAsiaTheme="minorEastAsia"/>
          <w:color w:val="auto"/>
          <w:sz w:val="32"/>
          <w:szCs w:val="32"/>
        </w:rPr>
        <w:t>年综治奖预发等。</w:t>
      </w:r>
    </w:p>
    <w:p>
      <w:pPr>
        <w:widowControl/>
        <w:spacing w:line="560" w:lineRule="exact"/>
        <w:ind w:firstLine="640" w:firstLineChars="200"/>
        <w:jc w:val="left"/>
        <w:rPr>
          <w:rFonts w:cs="黑体" w:asciiTheme="minorEastAsia" w:hAnsiTheme="minorEastAsia"/>
          <w:kern w:val="0"/>
          <w:sz w:val="32"/>
          <w:szCs w:val="32"/>
        </w:rPr>
      </w:pPr>
      <w:r>
        <w:rPr>
          <w:rFonts w:hint="eastAsia" w:asciiTheme="minorEastAsia" w:hAnsiTheme="minorEastAsia"/>
          <w:sz w:val="32"/>
          <w:szCs w:val="32"/>
        </w:rPr>
        <w:t>5、</w:t>
      </w:r>
      <w:r>
        <w:rPr>
          <w:rFonts w:hint="eastAsia" w:cs="黑体" w:asciiTheme="minorEastAsia" w:hAnsiTheme="minorEastAsia"/>
          <w:kern w:val="0"/>
          <w:sz w:val="32"/>
          <w:szCs w:val="32"/>
        </w:rPr>
        <w:t>自然资源海洋气象等支出（类）自然资源事务（款）地质矿产资源与环境调查（项）。</w:t>
      </w:r>
    </w:p>
    <w:p>
      <w:pPr>
        <w:widowControl/>
        <w:spacing w:line="560" w:lineRule="exact"/>
        <w:ind w:firstLine="640" w:firstLineChars="200"/>
        <w:jc w:val="left"/>
        <w:rPr>
          <w:rFonts w:asciiTheme="minorEastAsia" w:hAnsiTheme="minorEastAsia"/>
          <w:color w:val="FF0000"/>
          <w:sz w:val="32"/>
          <w:szCs w:val="32"/>
        </w:rPr>
      </w:pPr>
      <w:r>
        <w:rPr>
          <w:rFonts w:hint="eastAsia" w:asciiTheme="minorEastAsia" w:hAnsiTheme="minorEastAsia"/>
          <w:sz w:val="32"/>
          <w:szCs w:val="32"/>
        </w:rPr>
        <w:t>年初预算0万元，支出决算为4</w:t>
      </w:r>
      <w:r>
        <w:rPr>
          <w:rFonts w:asciiTheme="minorEastAsia" w:hAnsiTheme="minorEastAsia"/>
          <w:sz w:val="32"/>
          <w:szCs w:val="32"/>
        </w:rPr>
        <w:t>5</w:t>
      </w:r>
      <w:r>
        <w:rPr>
          <w:rFonts w:hint="eastAsia" w:asciiTheme="minorEastAsia" w:hAnsiTheme="minorEastAsia"/>
          <w:sz w:val="32"/>
          <w:szCs w:val="32"/>
        </w:rPr>
        <w:t>万元，决算数大于年初预算数的主要原因是2</w:t>
      </w:r>
      <w:r>
        <w:rPr>
          <w:rFonts w:asciiTheme="minorEastAsia" w:hAnsiTheme="minorEastAsia"/>
          <w:sz w:val="32"/>
          <w:szCs w:val="32"/>
        </w:rPr>
        <w:t>020</w:t>
      </w:r>
      <w:r>
        <w:rPr>
          <w:rFonts w:hint="eastAsia" w:asciiTheme="minorEastAsia" w:hAnsiTheme="minorEastAsia"/>
          <w:sz w:val="32"/>
          <w:szCs w:val="32"/>
        </w:rPr>
        <w:t>年8月下达矿产资源国情调查涟源市调查项目并在本年形成支出。</w:t>
      </w:r>
    </w:p>
    <w:p>
      <w:pPr>
        <w:widowControl/>
        <w:spacing w:line="560" w:lineRule="exact"/>
        <w:ind w:firstLine="640" w:firstLineChars="200"/>
        <w:jc w:val="left"/>
        <w:rPr>
          <w:rFonts w:ascii="宋体" w:hAnsi="宋体" w:eastAsia="宋体" w:cs="Arial"/>
          <w:kern w:val="0"/>
          <w:sz w:val="20"/>
          <w:szCs w:val="20"/>
        </w:rPr>
      </w:pPr>
      <w:r>
        <w:rPr>
          <w:rFonts w:hint="eastAsia" w:cs="黑体" w:asciiTheme="minorEastAsia" w:hAnsiTheme="minorEastAsia"/>
          <w:kern w:val="0"/>
          <w:sz w:val="32"/>
          <w:szCs w:val="32"/>
        </w:rPr>
        <w:t>6、自然资源海洋气象等支出（类）自然资源事务（款） 事业运行</w:t>
      </w:r>
      <w:r>
        <w:rPr>
          <w:rFonts w:hint="eastAsia" w:asciiTheme="minorEastAsia" w:hAnsiTheme="minorEastAsia"/>
          <w:sz w:val="32"/>
          <w:szCs w:val="32"/>
        </w:rPr>
        <w:t>（项）。</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w:t>
      </w:r>
      <w:r>
        <w:rPr>
          <w:rFonts w:asciiTheme="minorEastAsia" w:hAnsiTheme="minorEastAsia" w:eastAsiaTheme="minorEastAsia"/>
          <w:color w:val="auto"/>
          <w:sz w:val="32"/>
          <w:szCs w:val="32"/>
        </w:rPr>
        <w:t>571.47</w:t>
      </w:r>
      <w:r>
        <w:rPr>
          <w:rFonts w:hint="eastAsia" w:asciiTheme="minorEastAsia" w:hAnsiTheme="minorEastAsia" w:eastAsiaTheme="minorEastAsia"/>
          <w:color w:val="auto"/>
          <w:sz w:val="32"/>
          <w:szCs w:val="32"/>
        </w:rPr>
        <w:t>万元，支出决算为2</w:t>
      </w:r>
      <w:r>
        <w:rPr>
          <w:rFonts w:asciiTheme="minorEastAsia" w:hAnsiTheme="minorEastAsia" w:eastAsiaTheme="minorEastAsia"/>
          <w:color w:val="auto"/>
          <w:sz w:val="32"/>
          <w:szCs w:val="32"/>
        </w:rPr>
        <w:t>571.47</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%，决算数与预算数持平。</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7、住房保障支出（类）住房改革支出 （款）住房公积金（项）。</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年初预算2</w:t>
      </w:r>
      <w:r>
        <w:rPr>
          <w:rFonts w:asciiTheme="minorEastAsia" w:hAnsiTheme="minorEastAsia" w:eastAsiaTheme="minorEastAsia"/>
          <w:color w:val="auto"/>
          <w:sz w:val="32"/>
          <w:szCs w:val="32"/>
        </w:rPr>
        <w:t>60</w:t>
      </w:r>
      <w:r>
        <w:rPr>
          <w:rFonts w:hint="eastAsia" w:asciiTheme="minorEastAsia" w:hAnsiTheme="minorEastAsia" w:eastAsiaTheme="minorEastAsia"/>
          <w:color w:val="auto"/>
          <w:sz w:val="32"/>
          <w:szCs w:val="32"/>
        </w:rPr>
        <w:t>万元，支出决算为2</w:t>
      </w:r>
      <w:r>
        <w:rPr>
          <w:rFonts w:asciiTheme="minorEastAsia" w:hAnsiTheme="minorEastAsia" w:eastAsiaTheme="minorEastAsia"/>
          <w:color w:val="auto"/>
          <w:sz w:val="32"/>
          <w:szCs w:val="32"/>
        </w:rPr>
        <w:t>60</w:t>
      </w:r>
      <w:r>
        <w:rPr>
          <w:rFonts w:hint="eastAsia" w:asciiTheme="minorEastAsia" w:hAnsiTheme="minorEastAsia" w:eastAsiaTheme="minorEastAsia"/>
          <w:color w:val="auto"/>
          <w:sz w:val="32"/>
          <w:szCs w:val="32"/>
        </w:rPr>
        <w:t>万元，完成年初预算的1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%，决算数与预算数持平。</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8、灾害防治及应急管理支出（类）自然灾害防治（款）地质灾害防治（项）。</w:t>
      </w:r>
    </w:p>
    <w:p>
      <w:pPr>
        <w:widowControl/>
        <w:spacing w:line="560" w:lineRule="exact"/>
        <w:ind w:firstLine="640" w:firstLineChars="200"/>
        <w:jc w:val="left"/>
        <w:rPr>
          <w:rFonts w:cs="黑体" w:asciiTheme="minorEastAsia" w:hAnsiTheme="minorEastAsia"/>
          <w:kern w:val="0"/>
          <w:sz w:val="32"/>
          <w:szCs w:val="32"/>
        </w:rPr>
      </w:pPr>
      <w:r>
        <w:rPr>
          <w:rFonts w:hint="eastAsia" w:asciiTheme="minorEastAsia" w:hAnsiTheme="minorEastAsia"/>
          <w:sz w:val="32"/>
          <w:szCs w:val="32"/>
        </w:rPr>
        <w:t>年初预算为0万元，支出决算为4</w:t>
      </w:r>
      <w:r>
        <w:rPr>
          <w:rFonts w:asciiTheme="minorEastAsia" w:hAnsiTheme="minorEastAsia"/>
          <w:sz w:val="32"/>
          <w:szCs w:val="32"/>
        </w:rPr>
        <w:t>7.10</w:t>
      </w:r>
      <w:r>
        <w:rPr>
          <w:rFonts w:hint="eastAsia" w:asciiTheme="minorEastAsia" w:hAnsiTheme="minorEastAsia"/>
          <w:sz w:val="32"/>
          <w:szCs w:val="32"/>
        </w:rPr>
        <w:t>万元，决算数大于年初预算数的主要原因是2</w:t>
      </w:r>
      <w:r>
        <w:rPr>
          <w:rFonts w:asciiTheme="minorEastAsia" w:hAnsiTheme="minorEastAsia"/>
          <w:sz w:val="32"/>
          <w:szCs w:val="32"/>
        </w:rPr>
        <w:t>020</w:t>
      </w:r>
      <w:r>
        <w:rPr>
          <w:rFonts w:hint="eastAsia" w:asciiTheme="minorEastAsia" w:hAnsiTheme="minorEastAsia"/>
          <w:sz w:val="32"/>
          <w:szCs w:val="32"/>
        </w:rPr>
        <w:t>年7</w:t>
      </w:r>
      <w:r>
        <w:rPr>
          <w:rFonts w:hint="eastAsia" w:cs="黑体" w:asciiTheme="minorEastAsia" w:hAnsiTheme="minorEastAsia"/>
          <w:kern w:val="0"/>
          <w:sz w:val="32"/>
          <w:szCs w:val="32"/>
        </w:rPr>
        <w:t>月预拨2020年度自然灾害防治体系建设补助资金1</w:t>
      </w:r>
      <w:r>
        <w:rPr>
          <w:rFonts w:cs="黑体" w:asciiTheme="minorEastAsia" w:hAnsiTheme="minorEastAsia"/>
          <w:kern w:val="0"/>
          <w:sz w:val="32"/>
          <w:szCs w:val="32"/>
        </w:rPr>
        <w:t>20</w:t>
      </w:r>
      <w:r>
        <w:rPr>
          <w:rFonts w:hint="eastAsia" w:cs="黑体" w:asciiTheme="minorEastAsia" w:hAnsiTheme="minorEastAsia"/>
          <w:kern w:val="0"/>
          <w:sz w:val="32"/>
          <w:szCs w:val="32"/>
        </w:rPr>
        <w:t>万元</w:t>
      </w:r>
      <w:r>
        <w:rPr>
          <w:rFonts w:hint="eastAsia" w:asciiTheme="minorEastAsia" w:hAnsiTheme="minorEastAsia"/>
          <w:sz w:val="32"/>
          <w:szCs w:val="32"/>
        </w:rPr>
        <w:t>并在本年形成部分支出</w:t>
      </w:r>
      <w:r>
        <w:rPr>
          <w:rFonts w:hint="eastAsia" w:cs="黑体" w:asciiTheme="minorEastAsia" w:hAnsiTheme="minorEastAsia"/>
          <w:kern w:val="0"/>
          <w:sz w:val="32"/>
          <w:szCs w:val="32"/>
        </w:rPr>
        <w:t>。</w:t>
      </w:r>
    </w:p>
    <w:p>
      <w:pPr>
        <w:pStyle w:val="00000b"/>
        <w:spacing w:line="560" w:lineRule="exact"/>
        <w:ind/>
        <w:rPr>
          <w:rFonts w:hAnsi="黑体"/>
          <w:b/>
          <w:color w:val="auto"/>
          <w:sz w:val="32"/>
          <w:szCs w:val="32"/>
        </w:rPr>
      </w:pPr>
      <w:r>
        <w:rPr>
          <w:rFonts w:hint="eastAsia" w:hAnsi="黑体"/>
          <w:b/>
          <w:color w:val="auto"/>
          <w:sz w:val="32"/>
          <w:szCs w:val="32"/>
        </w:rPr>
        <w:t>六、一般公共预算财政拨款基本支出决算情况说明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2020年度财政拨款基本支出4</w:t>
      </w:r>
      <w:r>
        <w:rPr>
          <w:rFonts w:asciiTheme="minorEastAsia" w:hAnsiTheme="minorEastAsia" w:eastAsiaTheme="minorEastAsia"/>
          <w:color w:val="auto"/>
          <w:sz w:val="32"/>
          <w:szCs w:val="32"/>
        </w:rPr>
        <w:t>893.87</w:t>
      </w:r>
      <w:r>
        <w:rPr>
          <w:rFonts w:hint="eastAsia" w:asciiTheme="minorEastAsia" w:hAnsiTheme="minorEastAsia" w:eastAsiaTheme="minorEastAsia"/>
          <w:color w:val="auto"/>
          <w:sz w:val="32"/>
          <w:szCs w:val="32"/>
        </w:rPr>
        <w:t>万元，其中：人员经费4</w:t>
      </w:r>
      <w:r>
        <w:rPr>
          <w:rFonts w:asciiTheme="minorEastAsia" w:hAnsiTheme="minorEastAsia" w:eastAsiaTheme="minorEastAsia"/>
          <w:color w:val="auto"/>
          <w:sz w:val="32"/>
          <w:szCs w:val="32"/>
        </w:rPr>
        <w:t>761.72</w:t>
      </w:r>
      <w:r>
        <w:rPr>
          <w:rFonts w:hint="eastAsia" w:asciiTheme="minorEastAsia" w:hAnsiTheme="minorEastAsia" w:eastAsiaTheme="minorEastAsia"/>
          <w:color w:val="auto"/>
          <w:sz w:val="32"/>
          <w:szCs w:val="32"/>
        </w:rPr>
        <w:t>万元，占基本支出的9</w:t>
      </w:r>
      <w:r>
        <w:rPr>
          <w:rFonts w:asciiTheme="minorEastAsia" w:hAnsiTheme="minorEastAsia" w:eastAsiaTheme="minorEastAsia"/>
          <w:color w:val="auto"/>
          <w:sz w:val="32"/>
          <w:szCs w:val="32"/>
        </w:rPr>
        <w:t>7.30</w:t>
      </w:r>
      <w:r>
        <w:rPr>
          <w:rFonts w:hint="eastAsia" w:asciiTheme="minorEastAsia" w:hAnsiTheme="minorEastAsia" w:eastAsiaTheme="minorEastAsia"/>
          <w:color w:val="auto"/>
          <w:sz w:val="32"/>
          <w:szCs w:val="32"/>
        </w:rPr>
        <w:t>%,主要包括基本工资、津贴补贴、奖金、绩效工资、基本养老保险、基本医疗保险、其他社会保障缴费、住房公积金、离休费、抚恤金、生活补助、医疗费补助、奖励金、其他对个人和家庭的补助支出；公用经费1</w:t>
      </w:r>
      <w:r>
        <w:rPr>
          <w:rFonts w:asciiTheme="minorEastAsia" w:hAnsiTheme="minorEastAsia" w:eastAsiaTheme="minorEastAsia"/>
          <w:color w:val="auto"/>
          <w:sz w:val="32"/>
          <w:szCs w:val="32"/>
        </w:rPr>
        <w:t>32.15</w:t>
      </w:r>
      <w:r>
        <w:rPr>
          <w:rFonts w:hint="eastAsia" w:asciiTheme="minorEastAsia" w:hAnsiTheme="minorEastAsia" w:eastAsiaTheme="minorEastAsia"/>
          <w:color w:val="auto"/>
          <w:sz w:val="32"/>
          <w:szCs w:val="32"/>
        </w:rPr>
        <w:t>万元，占基本支出的2</w:t>
      </w:r>
      <w:r>
        <w:rPr>
          <w:rFonts w:asciiTheme="minorEastAsia" w:hAnsiTheme="minorEastAsia" w:eastAsiaTheme="minorEastAsia"/>
          <w:color w:val="auto"/>
          <w:sz w:val="32"/>
          <w:szCs w:val="32"/>
        </w:rPr>
        <w:t>.70</w:t>
      </w:r>
      <w:r>
        <w:rPr>
          <w:rFonts w:hint="eastAsia" w:asciiTheme="minorEastAsia" w:hAnsiTheme="minorEastAsia" w:eastAsiaTheme="minorEastAsia"/>
          <w:color w:val="auto"/>
          <w:sz w:val="32"/>
          <w:szCs w:val="32"/>
        </w:rPr>
        <w:t>%，主要包括办公费、印刷费、水费、电费、邮电费、取暖费、物业管理费、差旅费、维修费、会议费、培训费、公务接待费、工会经费、福利费、公务用车运行维护费、其他商品和服务支出。</w:t>
      </w:r>
    </w:p>
    <w:p>
      <w:pPr>
        <w:pStyle w:val="00000b"/>
        <w:spacing w:line="560" w:lineRule="exact"/>
        <w:ind/>
        <w:rPr>
          <w:rFonts w:hAnsi="黑体"/>
          <w:b/>
          <w:color w:val="auto"/>
          <w:sz w:val="32"/>
          <w:szCs w:val="32"/>
        </w:rPr>
      </w:pPr>
      <w:r>
        <w:rPr>
          <w:rFonts w:hint="eastAsia" w:hAnsi="黑体"/>
          <w:b/>
          <w:color w:val="auto"/>
          <w:sz w:val="32"/>
          <w:szCs w:val="32"/>
        </w:rPr>
        <w:t>七、一般公共预算财政拨款三公经费支出决算情况说明</w:t>
      </w:r>
    </w:p>
    <w:p>
      <w:pPr>
        <w:pStyle w:val="00000b"/>
        <w:spacing w:line="560" w:lineRule="exact"/>
        <w:ind/>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“三公”经费财政拨款支出预算为8万元，支出决算为8万元，完成预算的1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%，其中：</w:t>
      </w:r>
    </w:p>
    <w:p>
      <w:pPr>
        <w:pStyle w:val="00000b"/>
        <w:spacing w:line="560" w:lineRule="exact"/>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color w:val="auto"/>
          <w:sz w:val="32"/>
          <w:szCs w:val="32"/>
        </w:rPr>
        <w:t>因公出国（境）费支出预算为0万元，支出决算为0万元，完成预算的0%,与上年持平。</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公务接待费支出预算为1万元，支出决算为1万元，完成预算的1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%，决算数与上年相比减少0</w:t>
      </w:r>
      <w:r>
        <w:rPr>
          <w:rFonts w:asciiTheme="minorEastAsia" w:hAnsiTheme="minorEastAsia" w:eastAsiaTheme="minorEastAsia"/>
          <w:color w:val="auto"/>
          <w:sz w:val="32"/>
          <w:szCs w:val="32"/>
        </w:rPr>
        <w:t>.67</w:t>
      </w:r>
      <w:r>
        <w:rPr>
          <w:rFonts w:hint="eastAsia" w:asciiTheme="minorEastAsia" w:hAnsiTheme="minorEastAsia" w:eastAsiaTheme="minorEastAsia"/>
          <w:color w:val="auto"/>
          <w:sz w:val="32"/>
          <w:szCs w:val="32"/>
        </w:rPr>
        <w:t>万元，减少3</w:t>
      </w:r>
      <w:r>
        <w:rPr>
          <w:rFonts w:asciiTheme="minorEastAsia" w:hAnsiTheme="minorEastAsia" w:eastAsiaTheme="minorEastAsia"/>
          <w:color w:val="auto"/>
          <w:sz w:val="32"/>
          <w:szCs w:val="32"/>
        </w:rPr>
        <w:t>9.94</w:t>
      </w:r>
      <w:r>
        <w:rPr>
          <w:rFonts w:hint="eastAsia" w:asciiTheme="minorEastAsia" w:hAnsiTheme="minorEastAsia" w:eastAsiaTheme="minorEastAsia"/>
          <w:color w:val="auto"/>
          <w:sz w:val="32"/>
          <w:szCs w:val="32"/>
        </w:rPr>
        <w:t>%,减少主要原因是节约开支，公务接待人次减少。</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公务用车购置费及运行维护费支出预算为7万元，支出决算为7万元，主要用于车辆加油、维修费用等，完成预算的1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%，与上年持平。</w:t>
      </w:r>
    </w:p>
    <w:p>
      <w:pPr>
        <w:pStyle w:val="00000b"/>
        <w:spacing w:line="560" w:lineRule="exact"/>
        <w:ind/>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2020年度“三公”经费财政拨款支出决算中，公务接待费支出决算1万元，占1</w:t>
      </w:r>
      <w:r>
        <w:rPr>
          <w:rFonts w:asciiTheme="minorEastAsia" w:hAnsiTheme="minorEastAsia" w:eastAsiaTheme="minorEastAsia"/>
          <w:color w:val="auto"/>
          <w:sz w:val="32"/>
          <w:szCs w:val="32"/>
        </w:rPr>
        <w:t>2.50</w:t>
      </w:r>
      <w:r>
        <w:rPr>
          <w:rFonts w:hint="eastAsia" w:asciiTheme="minorEastAsia" w:hAnsiTheme="minorEastAsia" w:eastAsiaTheme="minorEastAsia"/>
          <w:color w:val="auto"/>
          <w:sz w:val="32"/>
          <w:szCs w:val="32"/>
        </w:rPr>
        <w:t>%,因公出国（境）费支出决算0万元，占0%,公务用车购置费及运行维护费支出决算7万元，占8</w:t>
      </w:r>
      <w:r>
        <w:rPr>
          <w:rFonts w:asciiTheme="minorEastAsia" w:hAnsiTheme="minorEastAsia" w:eastAsiaTheme="minorEastAsia"/>
          <w:color w:val="auto"/>
          <w:sz w:val="32"/>
          <w:szCs w:val="32"/>
        </w:rPr>
        <w:t>7.50</w:t>
      </w:r>
      <w:r>
        <w:rPr>
          <w:rFonts w:hint="eastAsia" w:asciiTheme="minorEastAsia" w:hAnsiTheme="minorEastAsia" w:eastAsiaTheme="minorEastAsia"/>
          <w:color w:val="auto"/>
          <w:sz w:val="32"/>
          <w:szCs w:val="32"/>
        </w:rPr>
        <w:t>%。其中：</w:t>
      </w:r>
    </w:p>
    <w:p>
      <w:pPr>
        <w:pStyle w:val="00000b"/>
        <w:spacing w:line="560" w:lineRule="exact"/>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p>
    <w:p>
      <w:pPr>
        <w:pStyle w:val="00000b"/>
        <w:spacing w:line="560" w:lineRule="exact"/>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2、公务接待费支出决算为1万元，全年共接待来访团组3</w:t>
      </w:r>
      <w:r>
        <w:rPr>
          <w:rFonts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rPr>
        <w:t>个、来宾1</w:t>
      </w:r>
      <w:r>
        <w:rPr>
          <w:rFonts w:asciiTheme="minorEastAsia" w:hAnsiTheme="minorEastAsia" w:eastAsiaTheme="minorEastAsia"/>
          <w:color w:val="auto"/>
          <w:sz w:val="32"/>
          <w:szCs w:val="32"/>
        </w:rPr>
        <w:t>65</w:t>
      </w:r>
      <w:r>
        <w:rPr>
          <w:rFonts w:hint="eastAsia" w:asciiTheme="minorEastAsia" w:hAnsiTheme="minorEastAsia" w:eastAsiaTheme="minorEastAsia"/>
          <w:color w:val="auto"/>
          <w:sz w:val="32"/>
          <w:szCs w:val="32"/>
        </w:rPr>
        <w:t>人次，主要是业务往来发生的接待支出。</w:t>
      </w:r>
    </w:p>
    <w:p>
      <w:pPr>
        <w:spacing w:line="560" w:lineRule="exact"/>
        <w:ind w:firstLine="800" w:firstLineChars="250"/>
        <w:rPr>
          <w:rFonts w:cs="黑体" w:asciiTheme="minorEastAsia" w:hAnsiTheme="minorEastAsia"/>
          <w:kern w:val="0"/>
          <w:sz w:val="32"/>
          <w:szCs w:val="32"/>
        </w:rPr>
      </w:pPr>
      <w:r>
        <w:rPr>
          <w:rFonts w:hint="eastAsia" w:asciiTheme="minorEastAsia" w:hAnsiTheme="minorEastAsia"/>
          <w:sz w:val="32"/>
          <w:szCs w:val="32"/>
        </w:rPr>
        <w:t>3、公务用车购置费及运行维护费支出决算为7万元，其中：公务用车购置费0万元。公务用车运行维护费7万元，主要是车辆加油、维修支出，截止2020年12月31日，我单位开支财政拨款的公务用车保有量为5辆。</w:t>
      </w:r>
    </w:p>
    <w:p>
      <w:pPr>
        <w:pStyle w:val="00000b"/>
        <w:spacing w:line="560" w:lineRule="exact"/>
        <w:ind/>
        <w:rPr>
          <w:rFonts w:hAnsi="黑体"/>
          <w:b/>
          <w:color w:val="auto"/>
          <w:sz w:val="32"/>
          <w:szCs w:val="32"/>
        </w:rPr>
      </w:pPr>
      <w:r>
        <w:rPr>
          <w:rFonts w:hint="eastAsia" w:hAnsi="黑体"/>
          <w:b/>
          <w:color w:val="auto"/>
          <w:sz w:val="32"/>
          <w:szCs w:val="32"/>
        </w:rPr>
        <w:t>八、政府性基金预算收入支出决算情况</w:t>
      </w:r>
    </w:p>
    <w:p>
      <w:pPr>
        <w:pStyle w:val="00000b"/>
        <w:spacing w:line="560" w:lineRule="exact"/>
        <w:ind/>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 xml:space="preserve">     2020年度本单位无政府性基金收支。</w:t>
      </w:r>
    </w:p>
    <w:p>
      <w:pPr>
        <w:pStyle w:val="00000b"/>
        <w:spacing w:line="560" w:lineRule="exact"/>
        <w:ind/>
        <w:rPr>
          <w:rFonts w:hAnsi="黑体"/>
          <w:b/>
          <w:color w:val="auto"/>
          <w:sz w:val="32"/>
          <w:szCs w:val="32"/>
        </w:rPr>
      </w:pPr>
      <w:r>
        <w:rPr>
          <w:rFonts w:hint="eastAsia" w:hAnsi="黑体"/>
          <w:b/>
          <w:color w:val="auto"/>
          <w:sz w:val="32"/>
          <w:szCs w:val="32"/>
        </w:rPr>
        <w:t>九、关于机关运行经费支出说明</w:t>
      </w:r>
    </w:p>
    <w:p>
      <w:pPr>
        <w:pStyle w:val="00000b"/>
        <w:spacing w:line="560" w:lineRule="exact"/>
        <w:ind/>
        <w:rPr>
          <w:rFonts w:asciiTheme="minorEastAsia" w:hAnsiTheme="minorEastAsia" w:eastAsiaTheme="minorEastAsia"/>
          <w:color w:val="auto"/>
          <w:sz w:val="32"/>
          <w:szCs w:val="32"/>
        </w:rPr>
      </w:pPr>
      <w:r>
        <w:rPr>
          <w:rFonts w:hint="eastAsia" w:hAnsi="黑体"/>
          <w:b/>
          <w:color w:val="auto"/>
          <w:sz w:val="32"/>
          <w:szCs w:val="32"/>
        </w:rPr>
        <w:t xml:space="preserve"> </w:t>
      </w:r>
      <w:r>
        <w:rPr>
          <w:rFonts w:hAnsi="黑体"/>
          <w:b/>
          <w:color w:val="auto"/>
          <w:sz w:val="32"/>
          <w:szCs w:val="32"/>
        </w:rPr>
        <w:t xml:space="preserve">    </w:t>
      </w:r>
      <w:r>
        <w:rPr>
          <w:rFonts w:hint="eastAsia" w:asciiTheme="minorEastAsia" w:hAnsiTheme="minorEastAsia" w:eastAsiaTheme="minorEastAsia"/>
          <w:color w:val="auto"/>
          <w:sz w:val="32"/>
          <w:szCs w:val="32"/>
        </w:rPr>
        <w:t>本单位非行政单位和参照公务员法管理的事业单位，无机关运行经费。</w:t>
      </w:r>
    </w:p>
    <w:p>
      <w:pPr>
        <w:pStyle w:val="00000b"/>
        <w:spacing w:line="560" w:lineRule="exact"/>
        <w:ind/>
        <w:rPr>
          <w:rFonts w:hAnsi="黑体"/>
          <w:b/>
          <w:color w:val="auto"/>
          <w:sz w:val="32"/>
          <w:szCs w:val="32"/>
        </w:rPr>
      </w:pPr>
      <w:r>
        <w:rPr>
          <w:rFonts w:hint="eastAsia" w:hAnsi="黑体"/>
          <w:b/>
          <w:color w:val="auto"/>
          <w:sz w:val="32"/>
          <w:szCs w:val="32"/>
        </w:rPr>
        <w:t>十、一般性支出情况</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2020年本单位开支会议费2</w:t>
      </w:r>
      <w:r>
        <w:rPr>
          <w:rFonts w:asciiTheme="minorEastAsia" w:hAnsiTheme="minorEastAsia" w:eastAsiaTheme="minorEastAsia"/>
          <w:color w:val="auto"/>
          <w:sz w:val="32"/>
          <w:szCs w:val="32"/>
        </w:rPr>
        <w:t>.08</w:t>
      </w:r>
      <w:r>
        <w:rPr>
          <w:rFonts w:hint="eastAsia" w:asciiTheme="minorEastAsia" w:hAnsiTheme="minorEastAsia" w:eastAsiaTheme="minorEastAsia"/>
          <w:color w:val="auto"/>
          <w:sz w:val="32"/>
          <w:szCs w:val="32"/>
        </w:rPr>
        <w:t>万元，用于召开经济工作推进会议（4</w:t>
      </w:r>
      <w:r>
        <w:rPr>
          <w:rFonts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rPr>
        <w:t>人），工作例会（4</w:t>
      </w:r>
      <w:r>
        <w:rPr>
          <w:rFonts w:asciiTheme="minorEastAsia" w:hAnsiTheme="minorEastAsia" w:eastAsiaTheme="minorEastAsia"/>
          <w:color w:val="auto"/>
          <w:sz w:val="32"/>
          <w:szCs w:val="32"/>
        </w:rPr>
        <w:t>6</w:t>
      </w:r>
      <w:r>
        <w:rPr>
          <w:rFonts w:hint="eastAsia" w:asciiTheme="minorEastAsia" w:hAnsiTheme="minorEastAsia" w:eastAsiaTheme="minorEastAsia"/>
          <w:color w:val="auto"/>
          <w:sz w:val="32"/>
          <w:szCs w:val="32"/>
        </w:rPr>
        <w:t>人），职工代表大会（7</w:t>
      </w:r>
      <w:r>
        <w:rPr>
          <w:rFonts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rPr>
        <w:t>人）。开支培训费1万元，用于开展井控、硫化氢防护技术培训（1</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人）、安全生产资格培训（7人）、红色教育培训（2</w:t>
      </w:r>
      <w:r>
        <w:rPr>
          <w:rFonts w:asciiTheme="minorEastAsia" w:hAnsiTheme="minorEastAsia" w:eastAsiaTheme="minorEastAsia"/>
          <w:color w:val="auto"/>
          <w:sz w:val="32"/>
          <w:szCs w:val="32"/>
        </w:rPr>
        <w:t>9</w:t>
      </w:r>
      <w:r>
        <w:rPr>
          <w:rFonts w:hint="eastAsia" w:asciiTheme="minorEastAsia" w:hAnsiTheme="minorEastAsia" w:eastAsiaTheme="minorEastAsia"/>
          <w:color w:val="auto"/>
          <w:sz w:val="32"/>
          <w:szCs w:val="32"/>
        </w:rPr>
        <w:t>人）、专业技术人员教育（6</w:t>
      </w:r>
      <w:r>
        <w:rPr>
          <w:rFonts w:asciiTheme="minorEastAsia" w:hAnsiTheme="minorEastAsia" w:eastAsiaTheme="minorEastAsia"/>
          <w:color w:val="auto"/>
          <w:sz w:val="32"/>
          <w:szCs w:val="32"/>
        </w:rPr>
        <w:t>7</w:t>
      </w:r>
      <w:r>
        <w:rPr>
          <w:rFonts w:hint="eastAsia" w:asciiTheme="minorEastAsia" w:hAnsiTheme="minorEastAsia" w:eastAsiaTheme="minorEastAsia"/>
          <w:color w:val="auto"/>
          <w:sz w:val="32"/>
          <w:szCs w:val="32"/>
        </w:rPr>
        <w:t>人）。单位未举办节庆、晚会、论坛、赛事活动，开支0万元。</w:t>
      </w:r>
    </w:p>
    <w:p>
      <w:pPr>
        <w:pStyle w:val="00000b"/>
        <w:spacing w:line="560" w:lineRule="exact"/>
        <w:ind/>
        <w:rPr>
          <w:rFonts w:hAnsi="黑体"/>
          <w:b/>
          <w:color w:val="auto"/>
          <w:sz w:val="32"/>
          <w:szCs w:val="32"/>
        </w:rPr>
      </w:pPr>
      <w:r>
        <w:rPr>
          <w:rFonts w:hint="eastAsia" w:hAnsi="黑体"/>
          <w:b/>
          <w:color w:val="auto"/>
          <w:sz w:val="32"/>
          <w:szCs w:val="32"/>
        </w:rPr>
        <w:t>十一、关于政府采购支出说明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本单位货物支出1</w:t>
      </w:r>
      <w:r>
        <w:rPr>
          <w:rFonts w:asciiTheme="minorEastAsia" w:hAnsiTheme="minorEastAsia" w:eastAsiaTheme="minorEastAsia"/>
          <w:color w:val="auto"/>
          <w:sz w:val="32"/>
          <w:szCs w:val="32"/>
        </w:rPr>
        <w:t>40.18</w:t>
      </w:r>
      <w:r>
        <w:rPr>
          <w:rFonts w:hint="eastAsia" w:asciiTheme="minorEastAsia" w:hAnsiTheme="minorEastAsia" w:eastAsiaTheme="minorEastAsia"/>
          <w:color w:val="auto"/>
          <w:sz w:val="32"/>
          <w:szCs w:val="32"/>
        </w:rPr>
        <w:t xml:space="preserve"> 万元、政府采购工程支出0万元、政府采购服务支出0万元。授予中小企业合同金额0万元，占政府采购支出总额的0%，其中：授予小微企业合同金额1</w:t>
      </w:r>
      <w:r>
        <w:rPr>
          <w:rFonts w:asciiTheme="minorEastAsia" w:hAnsiTheme="minorEastAsia" w:eastAsiaTheme="minorEastAsia"/>
          <w:color w:val="auto"/>
          <w:sz w:val="32"/>
          <w:szCs w:val="32"/>
        </w:rPr>
        <w:t>40.18</w:t>
      </w:r>
      <w:r>
        <w:rPr>
          <w:rFonts w:hint="eastAsia" w:asciiTheme="minorEastAsia" w:hAnsiTheme="minorEastAsia" w:eastAsiaTheme="minorEastAsia"/>
          <w:color w:val="auto"/>
          <w:sz w:val="32"/>
          <w:szCs w:val="32"/>
        </w:rPr>
        <w:t>万元，占政府采购支出总额的1</w:t>
      </w:r>
      <w:r>
        <w:rPr>
          <w:rFonts w:asciiTheme="minorEastAsia" w:hAnsiTheme="minorEastAsia" w:eastAsiaTheme="minorEastAsia"/>
          <w:color w:val="auto"/>
          <w:sz w:val="32"/>
          <w:szCs w:val="32"/>
        </w:rPr>
        <w:t>00</w:t>
      </w:r>
      <w:r>
        <w:rPr>
          <w:rFonts w:hint="eastAsia" w:asciiTheme="minorEastAsia" w:hAnsiTheme="minorEastAsia" w:eastAsiaTheme="minorEastAsia"/>
          <w:color w:val="auto"/>
          <w:sz w:val="32"/>
          <w:szCs w:val="32"/>
        </w:rPr>
        <w:t>%。</w:t>
      </w:r>
    </w:p>
    <w:p>
      <w:pPr>
        <w:pStyle w:val="00000b"/>
        <w:spacing w:line="560" w:lineRule="exact"/>
        <w:ind/>
        <w:rPr>
          <w:rFonts w:hAnsi="黑体"/>
          <w:b/>
          <w:color w:val="auto"/>
          <w:sz w:val="32"/>
          <w:szCs w:val="32"/>
        </w:rPr>
      </w:pPr>
      <w:r>
        <w:rPr>
          <w:rFonts w:hint="eastAsia" w:hAnsi="黑体"/>
          <w:b/>
          <w:color w:val="auto"/>
          <w:sz w:val="32"/>
          <w:szCs w:val="32"/>
        </w:rPr>
        <w:t>十二、关于国有资产占用情况说明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截至2020年12月31日，本单位共有车辆1</w:t>
      </w:r>
      <w:r>
        <w:rPr>
          <w:rFonts w:asciiTheme="minorEastAsia" w:hAnsiTheme="minorEastAsia" w:eastAsiaTheme="minorEastAsia"/>
          <w:color w:val="auto"/>
          <w:sz w:val="32"/>
          <w:szCs w:val="32"/>
        </w:rPr>
        <w:t>4</w:t>
      </w:r>
      <w:r>
        <w:rPr>
          <w:rFonts w:hint="eastAsia" w:asciiTheme="minorEastAsia" w:hAnsiTheme="minorEastAsia" w:eastAsiaTheme="minorEastAsia"/>
          <w:color w:val="auto"/>
          <w:sz w:val="32"/>
          <w:szCs w:val="32"/>
        </w:rPr>
        <w:t>辆，其中，主要领导干部用车0辆，机要通信用车</w:t>
      </w:r>
      <w:r>
        <w:rPr>
          <w:rFonts w:asciiTheme="minorEastAsia" w:hAnsiTheme="minorEastAsia" w:eastAsiaTheme="minorEastAsia"/>
          <w:color w:val="auto"/>
          <w:sz w:val="32"/>
          <w:szCs w:val="32"/>
        </w:rPr>
        <w:t>2辆</w:t>
      </w:r>
      <w:r>
        <w:rPr>
          <w:rFonts w:hint="eastAsia" w:asciiTheme="minorEastAsia" w:hAnsiTheme="minorEastAsia" w:eastAsiaTheme="minorEastAsia"/>
          <w:color w:val="auto"/>
          <w:sz w:val="32"/>
          <w:szCs w:val="32"/>
        </w:rPr>
        <w:t>、应急保障用车1辆、执法执勤用车0辆、特种专业技术用车1辆、其他用车1</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辆，其他用车主要是离退休干部和其他用车；单位价值50万元以上通用设备1台；单位价值100万元以上专用设备2台。</w:t>
      </w:r>
    </w:p>
    <w:p>
      <w:pPr>
        <w:pStyle w:val="00000b"/>
        <w:spacing w:line="560" w:lineRule="exact"/>
        <w:ind/>
        <w:rPr>
          <w:rFonts w:hAnsi="黑体"/>
          <w:b/>
          <w:color w:val="auto"/>
          <w:sz w:val="32"/>
          <w:szCs w:val="32"/>
        </w:rPr>
      </w:pPr>
      <w:r>
        <w:rPr>
          <w:rFonts w:hint="eastAsia" w:hAnsi="黑体"/>
          <w:b/>
          <w:color w:val="auto"/>
          <w:sz w:val="32"/>
          <w:szCs w:val="32"/>
        </w:rPr>
        <w:t>十三、关于2020年度预算绩效情况的说明</w:t>
      </w:r>
    </w:p>
    <w:p>
      <w:pPr>
        <w:pStyle w:val="00000b"/>
        <w:spacing w:line="56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本单位预算绩效管理开展情况、绩效目标和绩效评价报告等</w:t>
      </w:r>
      <w:r>
        <w:rPr>
          <w:rFonts w:asciiTheme="minorEastAsia" w:hAnsiTheme="minorEastAsia" w:eastAsiaTheme="minorEastAsia"/>
          <w:color w:val="auto"/>
          <w:sz w:val="32"/>
          <w:szCs w:val="32"/>
        </w:rPr>
        <w:t>已由上级单位汇总公开，本次随部门决算一同公开</w:t>
      </w:r>
      <w:r>
        <w:rPr>
          <w:rFonts w:hint="eastAsia" w:asciiTheme="minorEastAsia" w:hAnsiTheme="minorEastAsia" w:eastAsiaTheme="minorEastAsia"/>
          <w:color w:val="auto"/>
          <w:sz w:val="32"/>
          <w:szCs w:val="32"/>
        </w:rPr>
        <w:t>，详见附件。</w:t>
      </w:r>
    </w:p>
    <w:p>
      <w:pPr>
        <w:pStyle w:val="00000b"/>
        <w:ind/>
        <w:rPr>
          <w:rFonts w:asciiTheme="minorEastAsia" w:hAnsiTheme="minorEastAsia" w:eastAsiaTheme="minorEastAsia"/>
          <w:color w:val="auto"/>
          <w:sz w:val="32"/>
          <w:szCs w:val="3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rFonts w:hint="eastAsia"/>
          <w:color w:val="auto"/>
          <w:sz w:val="72"/>
          <w:szCs w:val="72"/>
        </w:rPr>
      </w:pPr>
    </w:p>
    <w:p>
      <w:pPr>
        <w:pStyle w:val="00000b"/>
        <w:ind/>
        <w:jc w:val="center"/>
        <w:rPr>
          <w:rFonts w:hint="eastAsia"/>
          <w:color w:val="auto"/>
          <w:sz w:val="72"/>
          <w:szCs w:val="72"/>
        </w:rPr>
      </w:pPr>
    </w:p>
    <w:p>
      <w:pPr>
        <w:pStyle w:val="00000b"/>
        <w:ind/>
        <w:jc w:val="center"/>
        <w:rPr>
          <w:rFonts w:hint="eastAsia"/>
          <w:color w:val="auto"/>
          <w:sz w:val="72"/>
          <w:szCs w:val="72"/>
        </w:rPr>
      </w:pPr>
    </w:p>
    <w:p>
      <w:pPr>
        <w:pStyle w:val="00000b"/>
        <w:ind/>
        <w:jc w:val="center"/>
        <w:rPr>
          <w:color w:val="auto"/>
          <w:sz w:val="72"/>
          <w:szCs w:val="72"/>
        </w:rPr>
      </w:pPr>
    </w:p>
    <w:p>
      <w:pPr>
        <w:pStyle w:val="00000b"/>
        <w:ind/>
        <w:jc w:val="center"/>
        <w:rPr>
          <w:color w:val="auto"/>
          <w:sz w:val="44"/>
          <w:szCs w:val="44"/>
        </w:rPr>
      </w:pPr>
      <w:r>
        <w:rPr>
          <w:rFonts w:hint="eastAsia"/>
          <w:color w:val="auto"/>
          <w:sz w:val="44"/>
          <w:szCs w:val="44"/>
        </w:rPr>
        <w:t>第四部分</w:t>
      </w:r>
    </w:p>
    <w:p>
      <w:pPr>
        <w:ind/>
        <w:jc w:val="center"/>
        <w:rPr>
          <w:rFonts w:ascii="黑体" w:eastAsia="黑体" w:cs="黑体"/>
          <w:kern w:val="0"/>
          <w:sz w:val="44"/>
          <w:szCs w:val="44"/>
        </w:rPr>
      </w:pPr>
    </w:p>
    <w:p>
      <w:pPr>
        <w:ind/>
        <w:jc w:val="center"/>
        <w:rPr>
          <w:rFonts w:ascii="黑体" w:eastAsia="黑体" w:cs="黑体"/>
          <w:kern w:val="0"/>
          <w:sz w:val="44"/>
          <w:szCs w:val="44"/>
        </w:rPr>
      </w:pPr>
      <w:r>
        <w:rPr>
          <w:rFonts w:hint="eastAsia" w:ascii="黑体" w:eastAsia="黑体" w:cs="黑体"/>
          <w:kern w:val="0"/>
          <w:sz w:val="44"/>
          <w:szCs w:val="44"/>
        </w:rPr>
        <w:t>名词解释</w:t>
      </w:r>
    </w:p>
    <w:p>
      <w:pPr>
        <w:widowControl/>
        <w:ind/>
        <w:jc w:val="left"/>
        <w:rPr>
          <w:rFonts w:ascii="黑体" w:eastAsia="黑体" w:cs="黑体"/>
          <w:kern w:val="0"/>
          <w:sz w:val="70"/>
          <w:szCs w:val="70"/>
        </w:rPr>
      </w:pPr>
      <w:r>
        <w:rPr>
          <w:rFonts w:ascii="黑体" w:eastAsia="黑体" w:cs="黑体"/>
          <w:kern w:val="0"/>
          <w:sz w:val="70"/>
          <w:szCs w:val="70"/>
        </w:rPr>
        <w:br w:type="page"/>
      </w:r>
    </w:p>
    <w:p>
      <w:pPr>
        <w:pStyle w:val="00000b"/>
        <w:ind w:firstLine="643" w:firstLineChars="200"/>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一、</w:t>
      </w:r>
      <w:r>
        <w:rPr>
          <w:rFonts w:asciiTheme="minorEastAsia" w:hAnsiTheme="minorEastAsia" w:eastAsiaTheme="minorEastAsia"/>
          <w:b/>
          <w:color w:val="auto"/>
          <w:sz w:val="32"/>
          <w:szCs w:val="32"/>
        </w:rPr>
        <w:t>基本支出：</w:t>
      </w:r>
      <w:r>
        <w:rPr>
          <w:rFonts w:asciiTheme="minorEastAsia" w:hAnsiTheme="minorEastAsia" w:eastAsiaTheme="minorEastAsia"/>
          <w:color w:val="auto"/>
          <w:sz w:val="32"/>
          <w:szCs w:val="32"/>
        </w:rPr>
        <w:t>指为保障机构正常运转、完成日常工作任务而发生的各项支出，包括人员支出和公用支出。</w:t>
      </w:r>
    </w:p>
    <w:p>
      <w:pPr>
        <w:pStyle w:val="00000b"/>
        <w:ind w:firstLine="643" w:firstLineChars="200"/>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二、</w:t>
      </w:r>
      <w:r>
        <w:rPr>
          <w:rFonts w:asciiTheme="minorEastAsia" w:hAnsiTheme="minorEastAsia" w:eastAsiaTheme="minorEastAsia"/>
          <w:b/>
          <w:color w:val="auto"/>
          <w:sz w:val="32"/>
          <w:szCs w:val="32"/>
        </w:rPr>
        <w:t>项目支出：</w:t>
      </w:r>
      <w:r>
        <w:rPr>
          <w:rFonts w:asciiTheme="minorEastAsia" w:hAnsiTheme="minorEastAsia" w:eastAsiaTheme="minorEastAsia"/>
          <w:color w:val="auto"/>
          <w:sz w:val="32"/>
          <w:szCs w:val="32"/>
        </w:rPr>
        <w:t>指在基本支出以外为完成相关行政任务和事业发展目标所发生的各项支出。</w:t>
      </w:r>
    </w:p>
    <w:p>
      <w:pPr>
        <w:pStyle w:val="00000b"/>
        <w:ind w:firstLine="643" w:firstLineChars="200"/>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三、</w:t>
      </w:r>
      <w:r>
        <w:rPr>
          <w:rFonts w:asciiTheme="minorEastAsia" w:hAnsiTheme="minorEastAsia" w:eastAsiaTheme="minorEastAsia"/>
          <w:b/>
          <w:color w:val="auto"/>
          <w:sz w:val="32"/>
          <w:szCs w:val="32"/>
        </w:rPr>
        <w:t>“三公”经费：</w:t>
      </w:r>
      <w:r>
        <w:rPr>
          <w:rFonts w:asciiTheme="minorEastAsia" w:hAnsiTheme="minorEastAsia" w:eastAsiaTheme="minorEastAsia"/>
          <w:color w:val="auto"/>
          <w:sz w:val="32"/>
          <w:szCs w:val="32"/>
        </w:rPr>
        <w:t>指通过财政拨款资金安排的因公出国（境）费、公务用车购置及运行费和公务接待费支出。</w:t>
      </w:r>
    </w:p>
    <w:p>
      <w:pPr>
        <w:pStyle w:val="00000b"/>
        <w:ind w:firstLine="643" w:firstLineChars="200"/>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四、</w:t>
      </w:r>
      <w:r>
        <w:rPr>
          <w:rFonts w:asciiTheme="minorEastAsia" w:hAnsiTheme="minorEastAsia" w:eastAsiaTheme="minorEastAsia"/>
          <w:b/>
          <w:color w:val="auto"/>
          <w:sz w:val="32"/>
          <w:szCs w:val="32"/>
        </w:rPr>
        <w:t>机关运行经费：</w:t>
      </w:r>
      <w:r>
        <w:rPr>
          <w:rFonts w:asciiTheme="minorEastAsia" w:hAnsiTheme="minorEastAsia" w:eastAsiaTheme="minorEastAsia"/>
          <w:color w:val="auto"/>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72"/>
          <w:szCs w:val="72"/>
        </w:rPr>
      </w:pPr>
    </w:p>
    <w:p>
      <w:pPr>
        <w:pStyle w:val="00000b"/>
        <w:ind/>
        <w:jc w:val="center"/>
        <w:rPr>
          <w:color w:val="auto"/>
          <w:sz w:val="44"/>
          <w:szCs w:val="44"/>
        </w:rPr>
      </w:pPr>
      <w:r>
        <w:rPr>
          <w:rFonts w:hint="eastAsia"/>
          <w:color w:val="auto"/>
          <w:sz w:val="44"/>
          <w:szCs w:val="44"/>
        </w:rPr>
        <w:t>第五部分</w:t>
      </w:r>
    </w:p>
    <w:p>
      <w:pPr>
        <w:ind/>
        <w:jc w:val="center"/>
        <w:rPr>
          <w:rFonts w:ascii="黑体" w:eastAsia="黑体" w:cs="黑体"/>
          <w:kern w:val="0"/>
          <w:sz w:val="44"/>
          <w:szCs w:val="44"/>
        </w:rPr>
      </w:pPr>
    </w:p>
    <w:p>
      <w:pPr>
        <w:ind/>
        <w:jc w:val="center"/>
        <w:rPr>
          <w:rFonts w:ascii="黑体" w:eastAsia="黑体" w:cs="黑体"/>
          <w:kern w:val="0"/>
          <w:sz w:val="44"/>
          <w:szCs w:val="44"/>
        </w:rPr>
      </w:pPr>
      <w:r>
        <w:rPr>
          <w:rFonts w:hint="eastAsia" w:ascii="黑体" w:eastAsia="黑体" w:cs="黑体"/>
          <w:kern w:val="0"/>
          <w:sz w:val="44"/>
          <w:szCs w:val="44"/>
        </w:rPr>
        <w:t>附件</w:t>
      </w:r>
    </w:p>
    <w:p>
      <w:pPr>
        <w:widowControl/>
        <w:ind/>
        <w:jc w:val="left"/>
        <w:rPr>
          <w:rFonts w:ascii="黑体" w:eastAsia="黑体" w:cs="黑体"/>
          <w:kern w:val="0"/>
          <w:sz w:val="70"/>
          <w:szCs w:val="70"/>
        </w:rPr>
      </w:pPr>
      <w:r>
        <w:rPr>
          <w:rFonts w:ascii="黑体" w:eastAsia="黑体" w:cs="黑体"/>
          <w:kern w:val="0"/>
          <w:sz w:val="70"/>
          <w:szCs w:val="70"/>
        </w:rPr>
        <w:br w:type="page"/>
      </w:r>
    </w:p>
    <w:p>
      <w:pPr>
        <w:ind/>
        <w:jc w:val="center"/>
        <w:rPr>
          <w:rFonts w:cs="黑体" w:asciiTheme="minorEastAsia" w:hAnsiTheme="minorEastAsia"/>
          <w:b/>
          <w:kern w:val="0"/>
          <w:sz w:val="32"/>
          <w:szCs w:val="32"/>
        </w:rPr>
      </w:pPr>
      <w:r>
        <w:rPr>
          <w:rFonts w:hint="eastAsia" w:cs="黑体" w:asciiTheme="minorEastAsia" w:hAnsiTheme="minorEastAsia"/>
          <w:b/>
          <w:kern w:val="0"/>
          <w:sz w:val="32"/>
          <w:szCs w:val="32"/>
        </w:rPr>
        <w:t>2020年度湖南省煤田地质局第二勘探队单位整体支出绩效</w:t>
      </w:r>
    </w:p>
    <w:p>
      <w:pPr>
        <w:ind/>
        <w:jc w:val="center"/>
        <w:rPr>
          <w:rFonts w:cs="黑体" w:asciiTheme="minorEastAsia" w:hAnsiTheme="minorEastAsia"/>
          <w:b/>
          <w:kern w:val="0"/>
          <w:sz w:val="32"/>
          <w:szCs w:val="32"/>
        </w:rPr>
      </w:pPr>
      <w:r>
        <w:rPr>
          <w:rFonts w:hint="eastAsia" w:cs="黑体" w:asciiTheme="minorEastAsia" w:hAnsiTheme="minorEastAsia"/>
          <w:b/>
          <w:kern w:val="0"/>
          <w:sz w:val="32"/>
          <w:szCs w:val="32"/>
        </w:rPr>
        <w:t>自评报告</w:t>
      </w:r>
    </w:p>
    <w:p>
      <w:pPr>
        <w:spacing w:line="560" w:lineRule="exact"/>
        <w:ind/>
        <w:rPr>
          <w:rFonts w:ascii="黑体" w:hAnsi="黑体" w:eastAsia="黑体" w:cs="仿宋"/>
          <w:sz w:val="32"/>
          <w:szCs w:val="32"/>
        </w:rPr>
      </w:pPr>
      <w:r>
        <w:rPr>
          <w:rFonts w:hint="eastAsia" w:ascii="黑体" w:hAnsi="黑体" w:eastAsia="黑体" w:cs="仿宋"/>
          <w:sz w:val="32"/>
          <w:szCs w:val="32"/>
        </w:rPr>
        <w:t>一、单位基本情况</w:t>
      </w:r>
    </w:p>
    <w:p>
      <w:pPr>
        <w:spacing w:line="560" w:lineRule="exact"/>
        <w:ind w:firstLine="315" w:firstLineChars="98"/>
        <w:rPr>
          <w:rFonts w:ascii="宋体" w:hAnsi="宋体" w:eastAsia="宋体" w:cs="仿宋"/>
          <w:b/>
          <w:sz w:val="32"/>
          <w:szCs w:val="32"/>
        </w:rPr>
      </w:pPr>
      <w:r>
        <w:rPr>
          <w:rFonts w:hint="eastAsia" w:ascii="宋体" w:hAnsi="宋体" w:eastAsia="宋体" w:cs="仿宋"/>
          <w:b/>
          <w:sz w:val="32"/>
          <w:szCs w:val="32"/>
        </w:rPr>
        <w:t>（一）主</w:t>
      </w:r>
      <w:r>
        <w:rPr>
          <w:rFonts w:ascii="宋体" w:hAnsi="宋体" w:eastAsia="宋体" w:cs="仿宋"/>
          <w:b/>
          <w:sz w:val="32"/>
          <w:szCs w:val="32"/>
        </w:rPr>
        <w:t>要职能</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湖南省煤田地质局第二勘探队成立于1952年4月，隶属于湖南省</w:t>
      </w:r>
      <w:r>
        <w:rPr>
          <w:rFonts w:cs="仿宋" w:asciiTheme="minorEastAsia" w:hAnsiTheme="minorEastAsia"/>
          <w:sz w:val="32"/>
          <w:szCs w:val="32"/>
        </w:rPr>
        <w:t>地质院</w:t>
      </w:r>
      <w:r>
        <w:rPr>
          <w:rFonts w:hint="eastAsia" w:cs="仿宋" w:asciiTheme="minorEastAsia" w:hAnsiTheme="minorEastAsia"/>
          <w:sz w:val="32"/>
          <w:szCs w:val="32"/>
        </w:rPr>
        <w:t>，主要从事地质勘探服务、矿产地质调查、勘查水文地质勘查、环境地质勘查、地质勘探工程， 主要工作职责为：</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 xml:space="preserve">     1.1组织本队地质找矿队伍完成国家、省人民政府和有关部门下达的基础性、公益性、战略性地质勘查任务及煤田地质灾害调查评价任务，参与全省煤炭资源的合理开发利用工作，为国家和省提供煤炭资源开发和管理所需的基础信息材料。</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 xml:space="preserve">     1.2负责本队所属单位领导班子建设、本队机构编制、人事劳资、劳动和社会保障等工作；指导本队职工队伍建设和精神文明建设。</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（二）、机</w:t>
      </w:r>
      <w:r>
        <w:rPr>
          <w:rFonts w:cs="仿宋" w:asciiTheme="minorEastAsia" w:hAnsiTheme="minorEastAsia"/>
          <w:sz w:val="32"/>
          <w:szCs w:val="32"/>
        </w:rPr>
        <w:t>构</w:t>
      </w:r>
      <w:r>
        <w:rPr>
          <w:rFonts w:hint="eastAsia" w:cs="仿宋" w:asciiTheme="minorEastAsia" w:hAnsiTheme="minorEastAsia"/>
          <w:sz w:val="32"/>
          <w:szCs w:val="32"/>
        </w:rPr>
        <w:t>情</w:t>
      </w:r>
      <w:r>
        <w:rPr>
          <w:rFonts w:cs="仿宋" w:asciiTheme="minorEastAsia" w:hAnsiTheme="minorEastAsia"/>
          <w:sz w:val="32"/>
          <w:szCs w:val="32"/>
        </w:rPr>
        <w:t>况</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本单位</w:t>
      </w:r>
      <w:r>
        <w:rPr>
          <w:rFonts w:cs="仿宋" w:asciiTheme="minorEastAsia" w:hAnsiTheme="minorEastAsia"/>
          <w:sz w:val="32"/>
          <w:szCs w:val="32"/>
        </w:rPr>
        <w:t>内设</w:t>
      </w:r>
      <w:r>
        <w:rPr>
          <w:rFonts w:hint="eastAsia" w:cs="仿宋" w:asciiTheme="minorEastAsia" w:hAnsiTheme="minorEastAsia"/>
          <w:sz w:val="32"/>
          <w:szCs w:val="32"/>
        </w:rPr>
        <w:t>15个科室8经营实体，科室为：行政办公室、党委办公室、财务科、劳人科、经营科、综合治理办、纪检监察室、审计科、总工办、离退休办、安全生产科、株洲基地后勤、娄</w:t>
      </w:r>
      <w:r>
        <w:rPr>
          <w:rFonts w:cs="仿宋" w:asciiTheme="minorEastAsia" w:hAnsiTheme="minorEastAsia"/>
          <w:sz w:val="32"/>
          <w:szCs w:val="32"/>
        </w:rPr>
        <w:t>底办事处</w:t>
      </w:r>
      <w:r>
        <w:rPr>
          <w:rFonts w:hint="eastAsia" w:cs="仿宋" w:asciiTheme="minorEastAsia" w:hAnsiTheme="minorEastAsia"/>
          <w:sz w:val="32"/>
          <w:szCs w:val="32"/>
        </w:rPr>
        <w:t>、设备科、工会；经营实体为：第一工程勘察院、第二工程勘察院、探矿工程院、地质环境工程院、地质技术院、物探院、地质工程公司、矿山地质应急救援分队。</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（三）、人</w:t>
      </w:r>
      <w:r>
        <w:rPr>
          <w:rFonts w:cs="仿宋" w:asciiTheme="minorEastAsia" w:hAnsiTheme="minorEastAsia"/>
          <w:sz w:val="32"/>
          <w:szCs w:val="32"/>
        </w:rPr>
        <w:t>员情况</w:t>
      </w:r>
    </w:p>
    <w:p>
      <w:pPr>
        <w:spacing w:line="560" w:lineRule="exact"/>
        <w:ind w:firstLine="640" w:firstLineChars="200"/>
        <w:rPr>
          <w:rFonts w:cs="仿宋" w:asciiTheme="minorEastAsia" w:hAnsiTheme="minorEastAsia"/>
          <w:sz w:val="32"/>
          <w:szCs w:val="32"/>
        </w:rPr>
      </w:pPr>
      <w:r>
        <w:rPr>
          <w:rFonts w:hint="eastAsia" w:cs="仿宋" w:asciiTheme="minorEastAsia" w:hAnsiTheme="minorEastAsia"/>
          <w:sz w:val="32"/>
          <w:szCs w:val="32"/>
        </w:rPr>
        <w:t>我队编制人数534人，年未人员88</w:t>
      </w:r>
      <w:r>
        <w:rPr>
          <w:rFonts w:cs="仿宋" w:asciiTheme="minorEastAsia" w:hAnsiTheme="minorEastAsia"/>
          <w:sz w:val="32"/>
          <w:szCs w:val="32"/>
        </w:rPr>
        <w:t>0</w:t>
      </w:r>
      <w:r>
        <w:rPr>
          <w:rFonts w:hint="eastAsia" w:cs="仿宋" w:asciiTheme="minorEastAsia" w:hAnsiTheme="minorEastAsia"/>
          <w:sz w:val="32"/>
          <w:szCs w:val="32"/>
        </w:rPr>
        <w:t>人，其中在职3</w:t>
      </w:r>
      <w:r>
        <w:rPr>
          <w:rFonts w:cs="仿宋" w:asciiTheme="minorEastAsia" w:hAnsiTheme="minorEastAsia"/>
          <w:sz w:val="32"/>
          <w:szCs w:val="32"/>
        </w:rPr>
        <w:t>42</w:t>
      </w:r>
      <w:r>
        <w:rPr>
          <w:rFonts w:hint="eastAsia" w:cs="仿宋" w:asciiTheme="minorEastAsia" w:hAnsiTheme="minorEastAsia"/>
          <w:sz w:val="32"/>
          <w:szCs w:val="32"/>
        </w:rPr>
        <w:t>人、离休2人、退休退职5</w:t>
      </w:r>
      <w:r>
        <w:rPr>
          <w:rFonts w:cs="仿宋" w:asciiTheme="minorEastAsia" w:hAnsiTheme="minorEastAsia"/>
          <w:sz w:val="32"/>
          <w:szCs w:val="32"/>
        </w:rPr>
        <w:t>3</w:t>
      </w:r>
      <w:r>
        <w:rPr>
          <w:rFonts w:hint="eastAsia" w:cs="仿宋" w:asciiTheme="minorEastAsia" w:hAnsiTheme="minorEastAsia"/>
          <w:sz w:val="32"/>
          <w:szCs w:val="32"/>
        </w:rPr>
        <w:t>6人，相对201</w:t>
      </w:r>
      <w:r>
        <w:rPr>
          <w:rFonts w:cs="仿宋" w:asciiTheme="minorEastAsia" w:hAnsiTheme="minorEastAsia"/>
          <w:sz w:val="32"/>
          <w:szCs w:val="32"/>
        </w:rPr>
        <w:t>9</w:t>
      </w:r>
      <w:r>
        <w:rPr>
          <w:rFonts w:hint="eastAsia" w:cs="仿宋" w:asciiTheme="minorEastAsia" w:hAnsiTheme="minorEastAsia"/>
          <w:sz w:val="32"/>
          <w:szCs w:val="32"/>
        </w:rPr>
        <w:t>年898人减少18人，其中在职人员比201</w:t>
      </w:r>
      <w:r>
        <w:rPr>
          <w:rFonts w:cs="仿宋" w:asciiTheme="minorEastAsia" w:hAnsiTheme="minorEastAsia"/>
          <w:sz w:val="32"/>
          <w:szCs w:val="32"/>
        </w:rPr>
        <w:t>9</w:t>
      </w:r>
      <w:r>
        <w:rPr>
          <w:rFonts w:hint="eastAsia" w:cs="仿宋" w:asciiTheme="minorEastAsia" w:hAnsiTheme="minorEastAsia"/>
          <w:sz w:val="32"/>
          <w:szCs w:val="32"/>
        </w:rPr>
        <w:t>年减少48人，是因为在职死亡2人，退休46人，离退休人员自然减少16人；各专业技术人员85人，其中正高1人、副高19人、中级42人、初级19人，员</w:t>
      </w:r>
      <w:r>
        <w:rPr>
          <w:rFonts w:cs="仿宋" w:asciiTheme="minorEastAsia" w:hAnsiTheme="minorEastAsia"/>
          <w:sz w:val="32"/>
          <w:szCs w:val="32"/>
        </w:rPr>
        <w:t>级</w:t>
      </w:r>
      <w:r>
        <w:rPr>
          <w:rFonts w:hint="eastAsia" w:cs="仿宋" w:asciiTheme="minorEastAsia" w:hAnsiTheme="minorEastAsia"/>
          <w:sz w:val="32"/>
          <w:szCs w:val="32"/>
        </w:rPr>
        <w:t>4人。</w:t>
      </w:r>
    </w:p>
    <w:p>
      <w:pPr>
        <w:spacing w:line="560" w:lineRule="exact"/>
        <w:ind/>
        <w:rPr>
          <w:rFonts w:cs="仿宋" w:asciiTheme="minorEastAsia" w:hAnsiTheme="minorEastAsia"/>
          <w:sz w:val="32"/>
          <w:szCs w:val="32"/>
        </w:rPr>
      </w:pPr>
      <w:r>
        <w:rPr>
          <w:rFonts w:hint="eastAsia" w:cs="仿宋" w:asciiTheme="minorEastAsia" w:hAnsiTheme="minorEastAsia"/>
          <w:sz w:val="32"/>
          <w:szCs w:val="32"/>
        </w:rPr>
        <w:t>（四）、2020年</w:t>
      </w:r>
      <w:r>
        <w:rPr>
          <w:rFonts w:cs="仿宋" w:asciiTheme="minorEastAsia" w:hAnsiTheme="minorEastAsia"/>
          <w:sz w:val="32"/>
          <w:szCs w:val="32"/>
        </w:rPr>
        <w:t>重点工作成效</w:t>
      </w:r>
    </w:p>
    <w:p>
      <w:pPr>
        <w:spacing w:line="560" w:lineRule="exact"/>
        <w:ind w:firstLine="800" w:firstLineChars="250"/>
        <w:rPr>
          <w:rFonts w:cs="仿宋" w:asciiTheme="minorEastAsia" w:hAnsiTheme="minorEastAsia"/>
          <w:sz w:val="32"/>
          <w:szCs w:val="32"/>
        </w:rPr>
      </w:pPr>
      <w:r>
        <w:rPr>
          <w:rFonts w:asciiTheme="minorEastAsia" w:hAnsiTheme="minorEastAsia"/>
          <w:sz w:val="32"/>
          <w:szCs w:val="32"/>
        </w:rPr>
        <w:t>1、</w:t>
      </w:r>
      <w:r>
        <w:rPr>
          <w:rFonts w:hint="eastAsia" w:cs="仿宋" w:asciiTheme="minorEastAsia" w:hAnsiTheme="minorEastAsia"/>
          <w:sz w:val="32"/>
          <w:szCs w:val="32"/>
        </w:rPr>
        <w:t>严格按照党中央、国务院、省委统一部署，以及省地质院关于疫情防控工作的具体要求，全力以赴做好疫情防控各项工作，疫</w:t>
      </w:r>
      <w:r>
        <w:rPr>
          <w:rFonts w:cs="仿宋" w:asciiTheme="minorEastAsia" w:hAnsiTheme="minorEastAsia"/>
          <w:sz w:val="32"/>
          <w:szCs w:val="32"/>
        </w:rPr>
        <w:t>情防控取得零感染成果</w:t>
      </w:r>
      <w:r>
        <w:rPr>
          <w:rFonts w:hint="eastAsia" w:cs="仿宋" w:asciiTheme="minorEastAsia" w:hAnsiTheme="minorEastAsia"/>
          <w:sz w:val="32"/>
          <w:szCs w:val="32"/>
        </w:rPr>
        <w:t>。</w:t>
      </w:r>
    </w:p>
    <w:p>
      <w:pPr>
        <w:spacing w:line="560" w:lineRule="exact"/>
        <w:ind w:firstLine="800" w:firstLineChars="250"/>
        <w:rPr>
          <w:rFonts w:cs="仿宋" w:asciiTheme="minorEastAsia" w:hAnsiTheme="minorEastAsia"/>
          <w:sz w:val="32"/>
          <w:szCs w:val="32"/>
        </w:rPr>
      </w:pPr>
      <w:r>
        <w:rPr>
          <w:rFonts w:hint="eastAsia" w:asciiTheme="minorEastAsia" w:hAnsiTheme="minorEastAsia"/>
          <w:sz w:val="32"/>
          <w:szCs w:val="32"/>
        </w:rPr>
        <w:t>2、</w:t>
      </w:r>
      <w:r>
        <w:rPr>
          <w:rFonts w:hint="eastAsia" w:cs="仿宋" w:asciiTheme="minorEastAsia" w:hAnsiTheme="minorEastAsia"/>
          <w:sz w:val="32"/>
          <w:szCs w:val="32"/>
        </w:rPr>
        <w:t>完善项目管理制度和管理流程，规范了合同管理，提升了项目的经营质量，规避了经营风险。</w:t>
      </w:r>
    </w:p>
    <w:p>
      <w:pPr>
        <w:spacing w:line="560" w:lineRule="exact"/>
        <w:ind w:firstLine="800" w:firstLineChars="250"/>
        <w:rPr>
          <w:rFonts w:cs="仿宋" w:asciiTheme="minorEastAsia" w:hAnsiTheme="minorEastAsia"/>
          <w:sz w:val="32"/>
          <w:szCs w:val="32"/>
        </w:rPr>
      </w:pPr>
      <w:r>
        <w:rPr>
          <w:rFonts w:hint="eastAsia" w:cs="仿宋" w:asciiTheme="minorEastAsia" w:hAnsiTheme="minorEastAsia"/>
          <w:sz w:val="32"/>
          <w:szCs w:val="32"/>
        </w:rPr>
        <w:t>3、财</w:t>
      </w:r>
      <w:r>
        <w:rPr>
          <w:rFonts w:cs="仿宋" w:asciiTheme="minorEastAsia" w:hAnsiTheme="minorEastAsia"/>
          <w:sz w:val="32"/>
          <w:szCs w:val="32"/>
        </w:rPr>
        <w:t>务管理进一步规范</w:t>
      </w:r>
      <w:r>
        <w:rPr>
          <w:rFonts w:hint="eastAsia" w:cs="仿宋" w:asciiTheme="minorEastAsia" w:hAnsiTheme="minorEastAsia"/>
          <w:sz w:val="32"/>
          <w:szCs w:val="32"/>
        </w:rPr>
        <w:t>，一是进一步扩大资金直接支付范围。二是全面推行小额资金实行公务卡支付方式，资金支付得到有效管控。</w:t>
      </w:r>
    </w:p>
    <w:p>
      <w:pPr>
        <w:spacing w:line="560" w:lineRule="exact"/>
        <w:ind w:firstLine="640" w:firstLineChars="200"/>
        <w:rPr>
          <w:rFonts w:cs="仿宋" w:asciiTheme="minorEastAsia" w:hAnsiTheme="minorEastAsia"/>
          <w:sz w:val="32"/>
          <w:szCs w:val="32"/>
        </w:rPr>
      </w:pPr>
      <w:r>
        <w:rPr>
          <w:rFonts w:cs="仿宋" w:asciiTheme="minorEastAsia" w:hAnsiTheme="minorEastAsia"/>
          <w:sz w:val="32"/>
          <w:szCs w:val="32"/>
        </w:rPr>
        <w:t>4、</w:t>
      </w:r>
      <w:r>
        <w:rPr>
          <w:rFonts w:hint="eastAsia" w:cs="仿宋" w:asciiTheme="minorEastAsia" w:hAnsiTheme="minorEastAsia"/>
          <w:sz w:val="32"/>
          <w:szCs w:val="32"/>
        </w:rPr>
        <w:t>坚持把职工群众对美好生活的需求作为队党委一切工作的出发点和落脚点，不断提高职工群众的获得感和幸福感。①2020年元月为全队会员发放上年度福利费62万元。为促进疫情消费，3月30日发放“湘消费”电子消费券59万元。②完成510名退休人员2020年度退休金调标和补发的工作。③再次修订队不在岗人员管理办法，提高队待岗职工生活费标准，人均增加140元/月，对年龄偏大待岗职工，增设了工龄补助，年龄偏大待岗职工人均增加650元/月。</w:t>
      </w:r>
    </w:p>
    <w:p>
      <w:pPr>
        <w:widowControl/>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二、一般公共预算支出情况</w:t>
      </w:r>
    </w:p>
    <w:p>
      <w:pPr>
        <w:widowControl/>
        <w:spacing w:line="560" w:lineRule="exact"/>
        <w:ind w:firstLine="630" w:firstLineChars="196"/>
        <w:rPr>
          <w:rFonts w:asciiTheme="minorEastAsia" w:hAnsiTheme="minorEastAsia"/>
          <w:b/>
          <w:sz w:val="32"/>
          <w:szCs w:val="32"/>
        </w:rPr>
      </w:pPr>
      <w:r>
        <w:rPr>
          <w:rFonts w:hint="eastAsia" w:asciiTheme="minorEastAsia" w:hAnsiTheme="minorEastAsia"/>
          <w:b/>
          <w:sz w:val="32"/>
          <w:szCs w:val="32"/>
        </w:rPr>
        <w:t>（一）基本支出情况</w:t>
      </w:r>
    </w:p>
    <w:p>
      <w:pPr>
        <w:widowControl/>
        <w:spacing w:line="560" w:lineRule="exact"/>
        <w:ind w:firstLine="627" w:firstLineChars="196"/>
        <w:rPr>
          <w:rFonts w:cs="仿宋" w:asciiTheme="minorEastAsia" w:hAnsiTheme="minorEastAsia"/>
          <w:sz w:val="32"/>
          <w:szCs w:val="32"/>
        </w:rPr>
      </w:pPr>
      <w:r>
        <w:rPr>
          <w:rFonts w:cs="仿宋" w:asciiTheme="minorEastAsia" w:hAnsiTheme="minorEastAsia"/>
          <w:sz w:val="32"/>
          <w:szCs w:val="32"/>
        </w:rPr>
        <w:t>1、</w:t>
      </w:r>
      <w:r>
        <w:rPr>
          <w:rFonts w:hint="eastAsia" w:cs="仿宋" w:asciiTheme="minorEastAsia" w:hAnsiTheme="minorEastAsia"/>
          <w:sz w:val="32"/>
          <w:szCs w:val="32"/>
        </w:rPr>
        <w:t>2020年用于</w:t>
      </w:r>
      <w:r>
        <w:rPr>
          <w:rFonts w:cs="仿宋" w:asciiTheme="minorEastAsia" w:hAnsiTheme="minorEastAsia"/>
          <w:sz w:val="32"/>
          <w:szCs w:val="32"/>
        </w:rPr>
        <w:t>保障单位正常运转的基本支出</w:t>
      </w:r>
      <w:r>
        <w:rPr>
          <w:rFonts w:hint="eastAsia" w:cs="仿宋" w:asciiTheme="minorEastAsia" w:hAnsiTheme="minorEastAsia"/>
          <w:sz w:val="32"/>
          <w:szCs w:val="32"/>
        </w:rPr>
        <w:t>4893.87万元（含</w:t>
      </w:r>
      <w:r>
        <w:rPr>
          <w:rFonts w:cs="仿宋" w:asciiTheme="minorEastAsia" w:hAnsiTheme="minorEastAsia"/>
          <w:sz w:val="32"/>
          <w:szCs w:val="32"/>
        </w:rPr>
        <w:t>上年结转综治奖</w:t>
      </w:r>
      <w:r>
        <w:rPr>
          <w:rFonts w:hint="eastAsia" w:cs="仿宋" w:asciiTheme="minorEastAsia" w:hAnsiTheme="minorEastAsia"/>
          <w:sz w:val="32"/>
          <w:szCs w:val="32"/>
        </w:rPr>
        <w:t>657.6</w:t>
      </w:r>
      <w:r>
        <w:rPr>
          <w:rFonts w:cs="仿宋" w:asciiTheme="minorEastAsia" w:hAnsiTheme="minorEastAsia"/>
          <w:sz w:val="32"/>
          <w:szCs w:val="32"/>
        </w:rPr>
        <w:t>0</w:t>
      </w:r>
      <w:r>
        <w:rPr>
          <w:rFonts w:hint="eastAsia" w:cs="仿宋" w:asciiTheme="minorEastAsia" w:hAnsiTheme="minorEastAsia"/>
          <w:sz w:val="32"/>
          <w:szCs w:val="32"/>
        </w:rPr>
        <w:t>万元</w:t>
      </w:r>
      <w:r>
        <w:rPr>
          <w:rFonts w:cs="仿宋" w:asciiTheme="minorEastAsia" w:hAnsiTheme="minorEastAsia"/>
          <w:sz w:val="32"/>
          <w:szCs w:val="32"/>
        </w:rPr>
        <w:t>）</w:t>
      </w:r>
      <w:r>
        <w:rPr>
          <w:rFonts w:hint="eastAsia" w:cs="仿宋" w:asciiTheme="minorEastAsia" w:hAnsiTheme="minorEastAsia"/>
          <w:sz w:val="32"/>
          <w:szCs w:val="32"/>
        </w:rPr>
        <w:t>，其</w:t>
      </w:r>
      <w:r>
        <w:rPr>
          <w:rFonts w:cs="仿宋" w:asciiTheme="minorEastAsia" w:hAnsiTheme="minorEastAsia"/>
          <w:sz w:val="32"/>
          <w:szCs w:val="32"/>
        </w:rPr>
        <w:t>中</w:t>
      </w:r>
      <w:r>
        <w:rPr>
          <w:rFonts w:hint="eastAsia" w:cs="仿宋" w:asciiTheme="minorEastAsia" w:hAnsiTheme="minorEastAsia"/>
          <w:sz w:val="32"/>
          <w:szCs w:val="32"/>
        </w:rPr>
        <w:t>人</w:t>
      </w:r>
      <w:r>
        <w:rPr>
          <w:rFonts w:cs="仿宋" w:asciiTheme="minorEastAsia" w:hAnsiTheme="minorEastAsia"/>
          <w:sz w:val="32"/>
          <w:szCs w:val="32"/>
        </w:rPr>
        <w:t>员经费</w:t>
      </w:r>
      <w:r>
        <w:rPr>
          <w:rFonts w:hint="eastAsia" w:cs="仿宋" w:asciiTheme="minorEastAsia" w:hAnsiTheme="minorEastAsia"/>
          <w:sz w:val="32"/>
          <w:szCs w:val="32"/>
        </w:rPr>
        <w:t>4761.72（工</w:t>
      </w:r>
      <w:r>
        <w:rPr>
          <w:rFonts w:cs="仿宋" w:asciiTheme="minorEastAsia" w:hAnsiTheme="minorEastAsia"/>
          <w:sz w:val="32"/>
          <w:szCs w:val="32"/>
        </w:rPr>
        <w:t>资福利</w:t>
      </w:r>
      <w:r>
        <w:rPr>
          <w:rFonts w:hint="eastAsia" w:cs="仿宋" w:asciiTheme="minorEastAsia" w:hAnsiTheme="minorEastAsia"/>
          <w:sz w:val="32"/>
          <w:szCs w:val="32"/>
        </w:rPr>
        <w:t>支</w:t>
      </w:r>
      <w:r>
        <w:rPr>
          <w:rFonts w:cs="仿宋" w:asciiTheme="minorEastAsia" w:hAnsiTheme="minorEastAsia"/>
          <w:sz w:val="32"/>
          <w:szCs w:val="32"/>
        </w:rPr>
        <w:t>出</w:t>
      </w:r>
      <w:r>
        <w:rPr>
          <w:rFonts w:hint="eastAsia" w:cs="仿宋" w:asciiTheme="minorEastAsia" w:hAnsiTheme="minorEastAsia"/>
          <w:sz w:val="32"/>
          <w:szCs w:val="32"/>
        </w:rPr>
        <w:t>4538.72</w:t>
      </w:r>
      <w:r>
        <w:rPr>
          <w:rFonts w:cs="仿宋" w:asciiTheme="minorEastAsia" w:hAnsiTheme="minorEastAsia"/>
          <w:sz w:val="32"/>
          <w:szCs w:val="32"/>
        </w:rPr>
        <w:t>，</w:t>
      </w:r>
      <w:r>
        <w:rPr>
          <w:rFonts w:hint="eastAsia" w:cs="仿宋" w:asciiTheme="minorEastAsia" w:hAnsiTheme="minorEastAsia"/>
          <w:sz w:val="32"/>
          <w:szCs w:val="32"/>
        </w:rPr>
        <w:t>对</w:t>
      </w:r>
      <w:r>
        <w:rPr>
          <w:rFonts w:cs="仿宋" w:asciiTheme="minorEastAsia" w:hAnsiTheme="minorEastAsia"/>
          <w:sz w:val="32"/>
          <w:szCs w:val="32"/>
        </w:rPr>
        <w:t>个人和家庭补助支出</w:t>
      </w:r>
      <w:r>
        <w:rPr>
          <w:rFonts w:hint="eastAsia" w:cs="仿宋" w:asciiTheme="minorEastAsia" w:hAnsiTheme="minorEastAsia"/>
          <w:sz w:val="32"/>
          <w:szCs w:val="32"/>
        </w:rPr>
        <w:t>2</w:t>
      </w:r>
      <w:r>
        <w:rPr>
          <w:rFonts w:cs="仿宋" w:asciiTheme="minorEastAsia" w:hAnsiTheme="minorEastAsia"/>
          <w:sz w:val="32"/>
          <w:szCs w:val="32"/>
        </w:rPr>
        <w:t>23</w:t>
      </w:r>
      <w:r>
        <w:rPr>
          <w:rFonts w:hint="eastAsia" w:cs="仿宋" w:asciiTheme="minorEastAsia" w:hAnsiTheme="minorEastAsia"/>
          <w:sz w:val="32"/>
          <w:szCs w:val="32"/>
        </w:rPr>
        <w:t>万元，商</w:t>
      </w:r>
      <w:r>
        <w:rPr>
          <w:rFonts w:cs="仿宋" w:asciiTheme="minorEastAsia" w:hAnsiTheme="minorEastAsia"/>
          <w:sz w:val="32"/>
          <w:szCs w:val="32"/>
        </w:rPr>
        <w:t>品和服务支出</w:t>
      </w:r>
      <w:r>
        <w:rPr>
          <w:rFonts w:hint="eastAsia" w:cs="仿宋" w:asciiTheme="minorEastAsia" w:hAnsiTheme="minorEastAsia"/>
          <w:sz w:val="32"/>
          <w:szCs w:val="32"/>
        </w:rPr>
        <w:t>132.15万元）。</w:t>
      </w:r>
    </w:p>
    <w:p>
      <w:pPr>
        <w:widowControl/>
        <w:spacing w:line="560" w:lineRule="exact"/>
        <w:ind w:firstLine="627" w:firstLineChars="196"/>
        <w:rPr>
          <w:rFonts w:cs="仿宋" w:asciiTheme="minorEastAsia" w:hAnsiTheme="minorEastAsia"/>
          <w:sz w:val="32"/>
          <w:szCs w:val="32"/>
        </w:rPr>
      </w:pPr>
      <w:r>
        <w:rPr>
          <w:rFonts w:hint="eastAsia" w:cs="仿宋" w:asciiTheme="minorEastAsia" w:hAnsiTheme="minorEastAsia"/>
          <w:sz w:val="32"/>
          <w:szCs w:val="32"/>
        </w:rPr>
        <w:t>2、2020年三</w:t>
      </w:r>
      <w:r>
        <w:rPr>
          <w:rFonts w:cs="仿宋" w:asciiTheme="minorEastAsia" w:hAnsiTheme="minorEastAsia"/>
          <w:sz w:val="32"/>
          <w:szCs w:val="32"/>
        </w:rPr>
        <w:t>公经费</w:t>
      </w:r>
      <w:r>
        <w:rPr>
          <w:rFonts w:hint="eastAsia" w:cs="仿宋" w:asciiTheme="minorEastAsia" w:hAnsiTheme="minorEastAsia"/>
          <w:sz w:val="32"/>
          <w:szCs w:val="32"/>
        </w:rPr>
        <w:t>预</w:t>
      </w:r>
      <w:r>
        <w:rPr>
          <w:rFonts w:cs="仿宋" w:asciiTheme="minorEastAsia" w:hAnsiTheme="minorEastAsia"/>
          <w:sz w:val="32"/>
          <w:szCs w:val="32"/>
        </w:rPr>
        <w:t>算总支出</w:t>
      </w:r>
      <w:r>
        <w:rPr>
          <w:rFonts w:hint="eastAsia" w:cs="仿宋" w:asciiTheme="minorEastAsia" w:hAnsiTheme="minorEastAsia"/>
          <w:sz w:val="32"/>
          <w:szCs w:val="32"/>
        </w:rPr>
        <w:t>8万元，其</w:t>
      </w:r>
      <w:r>
        <w:rPr>
          <w:rFonts w:cs="仿宋" w:asciiTheme="minorEastAsia" w:hAnsiTheme="minorEastAsia"/>
          <w:sz w:val="32"/>
          <w:szCs w:val="32"/>
        </w:rPr>
        <w:t>中因公出国</w:t>
      </w:r>
      <w:r>
        <w:rPr>
          <w:rFonts w:hint="eastAsia" w:cs="仿宋" w:asciiTheme="minorEastAsia" w:hAnsiTheme="minorEastAsia"/>
          <w:sz w:val="32"/>
          <w:szCs w:val="32"/>
        </w:rPr>
        <w:t>0万元，公</w:t>
      </w:r>
      <w:r>
        <w:rPr>
          <w:rFonts w:cs="仿宋" w:asciiTheme="minorEastAsia" w:hAnsiTheme="minorEastAsia"/>
          <w:sz w:val="32"/>
          <w:szCs w:val="32"/>
        </w:rPr>
        <w:t>务接</w:t>
      </w:r>
      <w:r>
        <w:rPr>
          <w:rFonts w:hint="eastAsia" w:cs="仿宋" w:asciiTheme="minorEastAsia" w:hAnsiTheme="minorEastAsia"/>
          <w:sz w:val="32"/>
          <w:szCs w:val="32"/>
        </w:rPr>
        <w:t>待</w:t>
      </w:r>
      <w:r>
        <w:rPr>
          <w:rFonts w:cs="仿宋" w:asciiTheme="minorEastAsia" w:hAnsiTheme="minorEastAsia"/>
          <w:sz w:val="32"/>
          <w:szCs w:val="32"/>
        </w:rPr>
        <w:t>费</w:t>
      </w:r>
      <w:r>
        <w:rPr>
          <w:rFonts w:hint="eastAsia" w:cs="仿宋" w:asciiTheme="minorEastAsia" w:hAnsiTheme="minorEastAsia"/>
          <w:sz w:val="32"/>
          <w:szCs w:val="32"/>
        </w:rPr>
        <w:t>1万元，公</w:t>
      </w:r>
      <w:r>
        <w:rPr>
          <w:rFonts w:cs="仿宋" w:asciiTheme="minorEastAsia" w:hAnsiTheme="minorEastAsia"/>
          <w:sz w:val="32"/>
          <w:szCs w:val="32"/>
        </w:rPr>
        <w:t>务用车维护费</w:t>
      </w:r>
      <w:r>
        <w:rPr>
          <w:rFonts w:hint="eastAsia" w:cs="仿宋" w:asciiTheme="minorEastAsia" w:hAnsiTheme="minorEastAsia"/>
          <w:sz w:val="32"/>
          <w:szCs w:val="32"/>
        </w:rPr>
        <w:t>7万元，相</w:t>
      </w:r>
      <w:r>
        <w:rPr>
          <w:rFonts w:cs="仿宋" w:asciiTheme="minorEastAsia" w:hAnsiTheme="minorEastAsia"/>
          <w:sz w:val="32"/>
          <w:szCs w:val="32"/>
        </w:rPr>
        <w:t>比</w:t>
      </w:r>
      <w:r>
        <w:rPr>
          <w:rFonts w:hint="eastAsia" w:cs="仿宋" w:asciiTheme="minorEastAsia" w:hAnsiTheme="minorEastAsia"/>
          <w:sz w:val="32"/>
          <w:szCs w:val="32"/>
        </w:rPr>
        <w:t>2</w:t>
      </w:r>
      <w:r>
        <w:rPr>
          <w:rFonts w:cs="仿宋" w:asciiTheme="minorEastAsia" w:hAnsiTheme="minorEastAsia"/>
          <w:sz w:val="32"/>
          <w:szCs w:val="32"/>
        </w:rPr>
        <w:t>019</w:t>
      </w:r>
      <w:r>
        <w:rPr>
          <w:rFonts w:hint="eastAsia" w:cs="仿宋" w:asciiTheme="minorEastAsia" w:hAnsiTheme="minorEastAsia"/>
          <w:sz w:val="32"/>
          <w:szCs w:val="32"/>
        </w:rPr>
        <w:t>年</w:t>
      </w:r>
      <w:r>
        <w:rPr>
          <w:rFonts w:cs="仿宋" w:asciiTheme="minorEastAsia" w:hAnsiTheme="minorEastAsia"/>
          <w:sz w:val="32"/>
          <w:szCs w:val="32"/>
        </w:rPr>
        <w:t>三公经费总支出</w:t>
      </w:r>
      <w:r>
        <w:rPr>
          <w:rFonts w:hint="eastAsia" w:cs="仿宋" w:asciiTheme="minorEastAsia" w:hAnsiTheme="minorEastAsia"/>
          <w:sz w:val="32"/>
          <w:szCs w:val="32"/>
        </w:rPr>
        <w:t>8.67万元</w:t>
      </w:r>
      <w:r>
        <w:rPr>
          <w:rFonts w:cs="仿宋" w:asciiTheme="minorEastAsia" w:hAnsiTheme="minorEastAsia"/>
          <w:sz w:val="32"/>
          <w:szCs w:val="32"/>
        </w:rPr>
        <w:t>减少</w:t>
      </w:r>
      <w:r>
        <w:rPr>
          <w:rFonts w:hint="eastAsia" w:cs="仿宋" w:asciiTheme="minorEastAsia" w:hAnsiTheme="minorEastAsia"/>
          <w:sz w:val="32"/>
          <w:szCs w:val="32"/>
        </w:rPr>
        <w:t>0</w:t>
      </w:r>
      <w:r>
        <w:rPr>
          <w:rFonts w:cs="仿宋" w:asciiTheme="minorEastAsia" w:hAnsiTheme="minorEastAsia"/>
          <w:sz w:val="32"/>
          <w:szCs w:val="32"/>
        </w:rPr>
        <w:t>.67</w:t>
      </w:r>
      <w:r>
        <w:rPr>
          <w:rFonts w:hint="eastAsia" w:cs="仿宋" w:asciiTheme="minorEastAsia" w:hAnsiTheme="minorEastAsia"/>
          <w:sz w:val="32"/>
          <w:szCs w:val="32"/>
        </w:rPr>
        <w:t>万元，主</w:t>
      </w:r>
      <w:r>
        <w:rPr>
          <w:rFonts w:cs="仿宋" w:asciiTheme="minorEastAsia" w:hAnsiTheme="minorEastAsia"/>
          <w:sz w:val="32"/>
          <w:szCs w:val="32"/>
        </w:rPr>
        <w:t>要</w:t>
      </w:r>
      <w:r>
        <w:rPr>
          <w:rFonts w:hint="eastAsia" w:cs="仿宋" w:asciiTheme="minorEastAsia" w:hAnsiTheme="minorEastAsia"/>
          <w:sz w:val="32"/>
          <w:szCs w:val="32"/>
        </w:rPr>
        <w:t>是</w:t>
      </w:r>
      <w:r>
        <w:rPr>
          <w:rFonts w:cs="仿宋" w:asciiTheme="minorEastAsia" w:hAnsiTheme="minorEastAsia"/>
          <w:sz w:val="32"/>
          <w:szCs w:val="32"/>
        </w:rPr>
        <w:t>我队严格落实中央八项规定</w:t>
      </w:r>
      <w:r>
        <w:rPr>
          <w:rFonts w:hint="eastAsia" w:cs="仿宋" w:asciiTheme="minorEastAsia" w:hAnsiTheme="minorEastAsia"/>
          <w:sz w:val="32"/>
          <w:szCs w:val="32"/>
        </w:rPr>
        <w:t>，厉</w:t>
      </w:r>
      <w:r>
        <w:rPr>
          <w:rFonts w:cs="仿宋" w:asciiTheme="minorEastAsia" w:hAnsiTheme="minorEastAsia"/>
          <w:sz w:val="32"/>
          <w:szCs w:val="32"/>
        </w:rPr>
        <w:t>行节</w:t>
      </w:r>
      <w:r>
        <w:rPr>
          <w:rFonts w:hint="eastAsia" w:cs="仿宋" w:asciiTheme="minorEastAsia" w:hAnsiTheme="minorEastAsia"/>
          <w:sz w:val="32"/>
          <w:szCs w:val="32"/>
        </w:rPr>
        <w:t>约，进</w:t>
      </w:r>
      <w:r>
        <w:rPr>
          <w:rFonts w:cs="仿宋" w:asciiTheme="minorEastAsia" w:hAnsiTheme="minorEastAsia"/>
          <w:sz w:val="32"/>
          <w:szCs w:val="32"/>
        </w:rPr>
        <w:t>一步规范了</w:t>
      </w:r>
      <w:r>
        <w:rPr>
          <w:rFonts w:hint="eastAsia" w:cs="仿宋" w:asciiTheme="minorEastAsia" w:hAnsiTheme="minorEastAsia"/>
          <w:sz w:val="32"/>
          <w:szCs w:val="32"/>
        </w:rPr>
        <w:t>“三</w:t>
      </w:r>
      <w:r>
        <w:rPr>
          <w:rFonts w:cs="仿宋" w:asciiTheme="minorEastAsia" w:hAnsiTheme="minorEastAsia"/>
          <w:sz w:val="32"/>
          <w:szCs w:val="32"/>
        </w:rPr>
        <w:t>公经费</w:t>
      </w:r>
      <w:r>
        <w:rPr>
          <w:rFonts w:hint="eastAsia" w:cs="仿宋" w:asciiTheme="minorEastAsia" w:hAnsiTheme="minorEastAsia"/>
          <w:sz w:val="32"/>
          <w:szCs w:val="32"/>
        </w:rPr>
        <w:t>”的</w:t>
      </w:r>
      <w:r>
        <w:rPr>
          <w:rFonts w:cs="仿宋" w:asciiTheme="minorEastAsia" w:hAnsiTheme="minorEastAsia"/>
          <w:sz w:val="32"/>
          <w:szCs w:val="32"/>
        </w:rPr>
        <w:t>使用管理</w:t>
      </w:r>
      <w:r>
        <w:rPr>
          <w:rFonts w:hint="eastAsia" w:cs="仿宋" w:asciiTheme="minorEastAsia" w:hAnsiTheme="minorEastAsia"/>
          <w:sz w:val="32"/>
          <w:szCs w:val="32"/>
        </w:rPr>
        <w:t>，在</w:t>
      </w:r>
      <w:r>
        <w:rPr>
          <w:rFonts w:cs="仿宋" w:asciiTheme="minorEastAsia" w:hAnsiTheme="minorEastAsia"/>
          <w:sz w:val="32"/>
          <w:szCs w:val="32"/>
        </w:rPr>
        <w:t>效减少了</w:t>
      </w:r>
      <w:r>
        <w:rPr>
          <w:rFonts w:hint="eastAsia" w:cs="仿宋" w:asciiTheme="minorEastAsia" w:hAnsiTheme="minorEastAsia"/>
          <w:sz w:val="32"/>
          <w:szCs w:val="32"/>
        </w:rPr>
        <w:t>“三</w:t>
      </w:r>
      <w:r>
        <w:rPr>
          <w:rFonts w:cs="仿宋" w:asciiTheme="minorEastAsia" w:hAnsiTheme="minorEastAsia"/>
          <w:sz w:val="32"/>
          <w:szCs w:val="32"/>
        </w:rPr>
        <w:t>公经费</w:t>
      </w:r>
      <w:r>
        <w:rPr>
          <w:rFonts w:hint="eastAsia" w:cs="仿宋" w:asciiTheme="minorEastAsia" w:hAnsiTheme="minorEastAsia"/>
          <w:sz w:val="32"/>
          <w:szCs w:val="32"/>
        </w:rPr>
        <w:t>”的</w:t>
      </w:r>
      <w:r>
        <w:rPr>
          <w:rFonts w:cs="仿宋" w:asciiTheme="minorEastAsia" w:hAnsiTheme="minorEastAsia"/>
          <w:sz w:val="32"/>
          <w:szCs w:val="32"/>
        </w:rPr>
        <w:t>支出</w:t>
      </w:r>
      <w:r>
        <w:rPr>
          <w:rFonts w:hint="eastAsia" w:cs="仿宋" w:asciiTheme="minorEastAsia" w:hAnsiTheme="minorEastAsia"/>
          <w:sz w:val="32"/>
          <w:szCs w:val="32"/>
        </w:rPr>
        <w:t>。</w:t>
      </w:r>
    </w:p>
    <w:p>
      <w:pPr>
        <w:widowControl/>
        <w:spacing w:line="560" w:lineRule="exact"/>
        <w:ind w:firstLine="627" w:firstLineChars="196"/>
        <w:rPr>
          <w:rFonts w:cs="仿宋" w:asciiTheme="minorEastAsia" w:hAnsiTheme="minorEastAsia"/>
          <w:sz w:val="32"/>
          <w:szCs w:val="32"/>
        </w:rPr>
      </w:pPr>
      <w:r>
        <w:rPr>
          <w:rFonts w:hint="eastAsia" w:asciiTheme="minorEastAsia" w:hAnsiTheme="minorEastAsia"/>
          <w:color w:val="333333"/>
          <w:sz w:val="32"/>
          <w:szCs w:val="32"/>
          <w:shd w:val="clear" w:color="auto" w:fill="FFFFFF"/>
        </w:rPr>
        <w:t>本队严格执行部门预</w:t>
      </w:r>
      <w:r>
        <w:rPr>
          <w:rFonts w:asciiTheme="minorEastAsia" w:hAnsiTheme="minorEastAsia"/>
          <w:color w:val="333333"/>
          <w:sz w:val="32"/>
          <w:szCs w:val="32"/>
          <w:shd w:val="clear" w:color="auto" w:fill="FFFFFF"/>
        </w:rPr>
        <w:t>算</w:t>
      </w:r>
      <w:r>
        <w:rPr>
          <w:rFonts w:hint="eastAsia" w:asciiTheme="minorEastAsia" w:hAnsiTheme="minorEastAsia"/>
          <w:color w:val="333333"/>
          <w:sz w:val="32"/>
          <w:szCs w:val="32"/>
          <w:shd w:val="clear" w:color="auto" w:fill="FFFFFF"/>
        </w:rPr>
        <w:t>正常运行经费保障机制的相关规定，人员经费按编制内实有人数规定的政策标准安排支出，公用经费本着“勤俭节约、保障运转”的原则，根据公用经费定额标准及单位实际开支水平严格控制，在年度预算执行中，全年无超范围、超标准发放津补贴、奖金的现象，未以任何名义违规发放个人补助等，全年基本支出保障了本单位的正常运转，各</w:t>
      </w:r>
      <w:r>
        <w:rPr>
          <w:rFonts w:asciiTheme="minorEastAsia" w:hAnsiTheme="minorEastAsia"/>
          <w:color w:val="333333"/>
          <w:sz w:val="32"/>
          <w:szCs w:val="32"/>
          <w:shd w:val="clear" w:color="auto" w:fill="FFFFFF"/>
        </w:rPr>
        <w:t>项</w:t>
      </w:r>
      <w:r>
        <w:rPr>
          <w:rFonts w:hint="eastAsia" w:asciiTheme="minorEastAsia" w:hAnsiTheme="minorEastAsia"/>
          <w:color w:val="333333"/>
          <w:sz w:val="32"/>
          <w:szCs w:val="32"/>
          <w:shd w:val="clear" w:color="auto" w:fill="FFFFFF"/>
        </w:rPr>
        <w:t>重点工作都如期完成。</w:t>
      </w:r>
    </w:p>
    <w:p>
      <w:pPr>
        <w:widowControl/>
        <w:spacing w:line="560" w:lineRule="exact"/>
        <w:ind w:firstLine="630" w:firstLineChars="196"/>
        <w:rPr>
          <w:rFonts w:asciiTheme="minorEastAsia" w:hAnsiTheme="minorEastAsia"/>
          <w:b/>
          <w:sz w:val="32"/>
          <w:szCs w:val="32"/>
        </w:rPr>
      </w:pPr>
      <w:r>
        <w:rPr>
          <w:rFonts w:hint="eastAsia" w:asciiTheme="minorEastAsia" w:hAnsiTheme="minorEastAsia"/>
          <w:b/>
          <w:sz w:val="32"/>
          <w:szCs w:val="32"/>
        </w:rPr>
        <w:t>（二）项目支出情况</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2020年项</w:t>
      </w:r>
      <w:r>
        <w:rPr>
          <w:rFonts w:asciiTheme="minorEastAsia" w:hAnsiTheme="minorEastAsia"/>
          <w:sz w:val="32"/>
          <w:szCs w:val="32"/>
        </w:rPr>
        <w:t>目</w:t>
      </w:r>
      <w:r>
        <w:rPr>
          <w:rFonts w:hint="eastAsia" w:asciiTheme="minorEastAsia" w:hAnsiTheme="minorEastAsia"/>
          <w:sz w:val="32"/>
          <w:szCs w:val="32"/>
        </w:rPr>
        <w:t>预</w:t>
      </w:r>
      <w:r>
        <w:rPr>
          <w:rFonts w:asciiTheme="minorEastAsia" w:hAnsiTheme="minorEastAsia"/>
          <w:sz w:val="32"/>
          <w:szCs w:val="32"/>
        </w:rPr>
        <w:t>算支出总额</w:t>
      </w:r>
      <w:r>
        <w:rPr>
          <w:rFonts w:hint="eastAsia" w:asciiTheme="minorEastAsia" w:hAnsiTheme="minorEastAsia"/>
          <w:sz w:val="32"/>
          <w:szCs w:val="32"/>
        </w:rPr>
        <w:t>506.28万元，包</w:t>
      </w:r>
      <w:r>
        <w:rPr>
          <w:rFonts w:asciiTheme="minorEastAsia" w:hAnsiTheme="minorEastAsia"/>
          <w:sz w:val="32"/>
          <w:szCs w:val="32"/>
        </w:rPr>
        <w:t>括</w:t>
      </w:r>
      <w:r>
        <w:rPr>
          <w:rFonts w:hint="eastAsia" w:asciiTheme="minorEastAsia" w:hAnsiTheme="minorEastAsia"/>
          <w:sz w:val="32"/>
          <w:szCs w:val="32"/>
        </w:rPr>
        <w:t>：</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1、省</w:t>
      </w:r>
      <w:r>
        <w:rPr>
          <w:rFonts w:asciiTheme="minorEastAsia" w:hAnsiTheme="minorEastAsia"/>
          <w:sz w:val="32"/>
          <w:szCs w:val="32"/>
        </w:rPr>
        <w:t>地质院</w:t>
      </w:r>
      <w:r>
        <w:rPr>
          <w:rFonts w:hint="eastAsia" w:asciiTheme="minorEastAsia" w:hAnsiTheme="minorEastAsia"/>
          <w:sz w:val="32"/>
          <w:szCs w:val="32"/>
        </w:rPr>
        <w:t>地</w:t>
      </w:r>
      <w:r>
        <w:rPr>
          <w:rFonts w:asciiTheme="minorEastAsia" w:hAnsiTheme="minorEastAsia"/>
          <w:sz w:val="32"/>
          <w:szCs w:val="32"/>
        </w:rPr>
        <w:t>勘改革</w:t>
      </w:r>
      <w:r>
        <w:rPr>
          <w:rFonts w:hint="eastAsia" w:asciiTheme="minorEastAsia" w:hAnsiTheme="minorEastAsia"/>
          <w:sz w:val="32"/>
          <w:szCs w:val="32"/>
        </w:rPr>
        <w:t>发</w:t>
      </w:r>
      <w:r>
        <w:rPr>
          <w:rFonts w:asciiTheme="minorEastAsia" w:hAnsiTheme="minorEastAsia"/>
          <w:sz w:val="32"/>
          <w:szCs w:val="32"/>
        </w:rPr>
        <w:t>展专项经费</w:t>
      </w:r>
      <w:r>
        <w:rPr>
          <w:rFonts w:hint="eastAsia" w:asciiTheme="minorEastAsia" w:hAnsiTheme="minorEastAsia"/>
          <w:sz w:val="32"/>
          <w:szCs w:val="32"/>
        </w:rPr>
        <w:t>1</w:t>
      </w:r>
      <w:r>
        <w:rPr>
          <w:rFonts w:asciiTheme="minorEastAsia" w:hAnsiTheme="minorEastAsia"/>
          <w:sz w:val="32"/>
          <w:szCs w:val="32"/>
        </w:rPr>
        <w:t>40.18</w:t>
      </w:r>
      <w:r>
        <w:rPr>
          <w:rFonts w:hint="eastAsia" w:asciiTheme="minorEastAsia" w:hAnsiTheme="minorEastAsia"/>
          <w:sz w:val="32"/>
          <w:szCs w:val="32"/>
        </w:rPr>
        <w:t>万元（</w:t>
      </w:r>
      <w:r>
        <w:rPr>
          <w:rFonts w:asciiTheme="minorEastAsia" w:hAnsiTheme="minorEastAsia"/>
          <w:sz w:val="32"/>
          <w:szCs w:val="32"/>
        </w:rPr>
        <w:t>上年结转</w:t>
      </w:r>
      <w:r>
        <w:rPr>
          <w:rFonts w:hint="eastAsia" w:asciiTheme="minorEastAsia" w:hAnsiTheme="minorEastAsia"/>
          <w:sz w:val="32"/>
          <w:szCs w:val="32"/>
        </w:rPr>
        <w:t>），根</w:t>
      </w:r>
      <w:r>
        <w:rPr>
          <w:rFonts w:asciiTheme="minorEastAsia" w:hAnsiTheme="minorEastAsia"/>
          <w:sz w:val="32"/>
          <w:szCs w:val="32"/>
        </w:rPr>
        <w:t>据地质</w:t>
      </w:r>
      <w:r>
        <w:rPr>
          <w:rFonts w:hint="eastAsia" w:asciiTheme="minorEastAsia" w:hAnsiTheme="minorEastAsia"/>
          <w:sz w:val="32"/>
          <w:szCs w:val="32"/>
        </w:rPr>
        <w:t>院深</w:t>
      </w:r>
      <w:r>
        <w:rPr>
          <w:rFonts w:asciiTheme="minorEastAsia" w:hAnsiTheme="minorEastAsia"/>
          <w:sz w:val="32"/>
          <w:szCs w:val="32"/>
        </w:rPr>
        <w:t>化改革促转型的精神</w:t>
      </w:r>
      <w:r>
        <w:rPr>
          <w:rFonts w:hint="eastAsia" w:asciiTheme="minorEastAsia" w:hAnsiTheme="minorEastAsia"/>
          <w:sz w:val="32"/>
          <w:szCs w:val="32"/>
        </w:rPr>
        <w:t>，为</w:t>
      </w:r>
      <w:r>
        <w:rPr>
          <w:rFonts w:asciiTheme="minorEastAsia" w:hAnsiTheme="minorEastAsia"/>
          <w:sz w:val="32"/>
          <w:szCs w:val="32"/>
        </w:rPr>
        <w:t>改革提供保障</w:t>
      </w:r>
      <w:r>
        <w:rPr>
          <w:rFonts w:hint="eastAsia" w:asciiTheme="minorEastAsia" w:hAnsiTheme="minorEastAsia"/>
          <w:sz w:val="32"/>
          <w:szCs w:val="32"/>
        </w:rPr>
        <w:t>，我</w:t>
      </w:r>
      <w:r>
        <w:rPr>
          <w:rFonts w:asciiTheme="minorEastAsia" w:hAnsiTheme="minorEastAsia"/>
          <w:sz w:val="32"/>
          <w:szCs w:val="32"/>
        </w:rPr>
        <w:t>队购置</w:t>
      </w:r>
      <w:r>
        <w:rPr>
          <w:rFonts w:hint="eastAsia" w:asciiTheme="minorEastAsia" w:hAnsiTheme="minorEastAsia"/>
          <w:sz w:val="32"/>
          <w:szCs w:val="32"/>
        </w:rPr>
        <w:t>了2台新</w:t>
      </w:r>
      <w:r>
        <w:rPr>
          <w:rFonts w:asciiTheme="minorEastAsia" w:hAnsiTheme="minorEastAsia"/>
          <w:sz w:val="32"/>
          <w:szCs w:val="32"/>
        </w:rPr>
        <w:t>能源设备</w:t>
      </w:r>
      <w:r>
        <w:rPr>
          <w:rFonts w:hint="eastAsia" w:asciiTheme="minorEastAsia" w:hAnsiTheme="minorEastAsia"/>
          <w:sz w:val="32"/>
          <w:szCs w:val="32"/>
        </w:rPr>
        <w:t>，提</w:t>
      </w:r>
      <w:r>
        <w:rPr>
          <w:rFonts w:asciiTheme="minorEastAsia" w:hAnsiTheme="minorEastAsia"/>
          <w:sz w:val="32"/>
          <w:szCs w:val="32"/>
        </w:rPr>
        <w:t>升了地质装备</w:t>
      </w:r>
      <w:r>
        <w:rPr>
          <w:rFonts w:hint="eastAsia" w:asciiTheme="minorEastAsia" w:hAnsiTheme="minorEastAsia"/>
          <w:sz w:val="32"/>
          <w:szCs w:val="32"/>
        </w:rPr>
        <w:t>。</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2、基地</w:t>
      </w:r>
      <w:r>
        <w:rPr>
          <w:rFonts w:asciiTheme="minorEastAsia" w:hAnsiTheme="minorEastAsia"/>
          <w:sz w:val="32"/>
          <w:szCs w:val="32"/>
        </w:rPr>
        <w:t>零</w:t>
      </w:r>
      <w:r>
        <w:rPr>
          <w:rFonts w:hint="eastAsia" w:asciiTheme="minorEastAsia" w:hAnsiTheme="minorEastAsia"/>
          <w:sz w:val="32"/>
          <w:szCs w:val="32"/>
        </w:rPr>
        <w:t>星</w:t>
      </w:r>
      <w:r>
        <w:rPr>
          <w:rFonts w:asciiTheme="minorEastAsia" w:hAnsiTheme="minorEastAsia"/>
          <w:sz w:val="32"/>
          <w:szCs w:val="32"/>
        </w:rPr>
        <w:t>改造及维修费</w:t>
      </w:r>
      <w:r>
        <w:rPr>
          <w:rFonts w:hint="eastAsia" w:asciiTheme="minorEastAsia" w:hAnsiTheme="minorEastAsia"/>
          <w:sz w:val="32"/>
          <w:szCs w:val="32"/>
        </w:rPr>
        <w:t>2</w:t>
      </w:r>
      <w:r>
        <w:rPr>
          <w:rFonts w:asciiTheme="minorEastAsia" w:hAnsiTheme="minorEastAsia"/>
          <w:sz w:val="32"/>
          <w:szCs w:val="32"/>
        </w:rPr>
        <w:t>4</w:t>
      </w:r>
      <w:r>
        <w:rPr>
          <w:rFonts w:hint="eastAsia" w:asciiTheme="minorEastAsia" w:hAnsiTheme="minorEastAsia"/>
          <w:sz w:val="32"/>
          <w:szCs w:val="32"/>
        </w:rPr>
        <w:t>万元，主</w:t>
      </w:r>
      <w:r>
        <w:rPr>
          <w:rFonts w:asciiTheme="minorEastAsia" w:hAnsiTheme="minorEastAsia"/>
          <w:sz w:val="32"/>
          <w:szCs w:val="32"/>
        </w:rPr>
        <w:t>要用于涟源</w:t>
      </w:r>
      <w:r>
        <w:rPr>
          <w:rFonts w:hint="eastAsia" w:asciiTheme="minorEastAsia" w:hAnsiTheme="minorEastAsia"/>
          <w:sz w:val="32"/>
          <w:szCs w:val="32"/>
        </w:rPr>
        <w:t>、株</w:t>
      </w:r>
      <w:r>
        <w:rPr>
          <w:rFonts w:asciiTheme="minorEastAsia" w:hAnsiTheme="minorEastAsia"/>
          <w:sz w:val="32"/>
          <w:szCs w:val="32"/>
        </w:rPr>
        <w:t>洲两地</w:t>
      </w:r>
      <w:r>
        <w:rPr>
          <w:rFonts w:hint="eastAsia" w:asciiTheme="minorEastAsia" w:hAnsiTheme="minorEastAsia"/>
          <w:sz w:val="32"/>
          <w:szCs w:val="32"/>
        </w:rPr>
        <w:t>零星</w:t>
      </w:r>
      <w:r>
        <w:rPr>
          <w:rFonts w:asciiTheme="minorEastAsia" w:hAnsiTheme="minorEastAsia"/>
          <w:sz w:val="32"/>
          <w:szCs w:val="32"/>
        </w:rPr>
        <w:t>维</w:t>
      </w:r>
      <w:r>
        <w:rPr>
          <w:rFonts w:hint="eastAsia" w:asciiTheme="minorEastAsia" w:hAnsiTheme="minorEastAsia"/>
          <w:sz w:val="32"/>
          <w:szCs w:val="32"/>
        </w:rPr>
        <w:t>护</w:t>
      </w:r>
      <w:r>
        <w:rPr>
          <w:rFonts w:asciiTheme="minorEastAsia" w:hAnsiTheme="minorEastAsia"/>
          <w:sz w:val="32"/>
          <w:szCs w:val="32"/>
        </w:rPr>
        <w:t>费及</w:t>
      </w:r>
      <w:r>
        <w:rPr>
          <w:rFonts w:hint="eastAsia" w:asciiTheme="minorEastAsia" w:hAnsiTheme="minorEastAsia"/>
          <w:sz w:val="32"/>
          <w:szCs w:val="32"/>
        </w:rPr>
        <w:t>下</w:t>
      </w:r>
      <w:r>
        <w:rPr>
          <w:rFonts w:asciiTheme="minorEastAsia" w:hAnsiTheme="minorEastAsia"/>
          <w:sz w:val="32"/>
          <w:szCs w:val="32"/>
        </w:rPr>
        <w:t>水道改造等支出</w:t>
      </w:r>
      <w:r>
        <w:rPr>
          <w:rFonts w:hint="eastAsia" w:asciiTheme="minorEastAsia" w:hAnsiTheme="minorEastAsia"/>
          <w:sz w:val="32"/>
          <w:szCs w:val="32"/>
        </w:rPr>
        <w:t>。</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3、衡南</w:t>
      </w:r>
      <w:r>
        <w:rPr>
          <w:rFonts w:asciiTheme="minorEastAsia" w:hAnsiTheme="minorEastAsia"/>
          <w:sz w:val="32"/>
          <w:szCs w:val="32"/>
        </w:rPr>
        <w:t>地质灾害防治项目</w:t>
      </w:r>
      <w:r>
        <w:rPr>
          <w:rFonts w:hint="eastAsia" w:asciiTheme="minorEastAsia" w:hAnsiTheme="minorEastAsia"/>
          <w:sz w:val="32"/>
          <w:szCs w:val="32"/>
        </w:rPr>
        <w:t>预</w:t>
      </w:r>
      <w:r>
        <w:rPr>
          <w:rFonts w:asciiTheme="minorEastAsia" w:hAnsiTheme="minorEastAsia"/>
          <w:sz w:val="32"/>
          <w:szCs w:val="32"/>
        </w:rPr>
        <w:t>算</w:t>
      </w:r>
      <w:r>
        <w:rPr>
          <w:rFonts w:hint="eastAsia" w:asciiTheme="minorEastAsia" w:hAnsiTheme="minorEastAsia"/>
          <w:sz w:val="32"/>
          <w:szCs w:val="32"/>
        </w:rPr>
        <w:t>收</w:t>
      </w:r>
      <w:r>
        <w:rPr>
          <w:rFonts w:asciiTheme="minorEastAsia" w:hAnsiTheme="minorEastAsia"/>
          <w:sz w:val="32"/>
          <w:szCs w:val="32"/>
        </w:rPr>
        <w:t>入</w:t>
      </w:r>
      <w:r>
        <w:rPr>
          <w:rFonts w:hint="eastAsia" w:asciiTheme="minorEastAsia" w:hAnsiTheme="minorEastAsia"/>
          <w:sz w:val="32"/>
          <w:szCs w:val="32"/>
        </w:rPr>
        <w:t>120万元，实</w:t>
      </w:r>
      <w:r>
        <w:rPr>
          <w:rFonts w:asciiTheme="minorEastAsia" w:hAnsiTheme="minorEastAsia"/>
          <w:sz w:val="32"/>
          <w:szCs w:val="32"/>
        </w:rPr>
        <w:t>际支出</w:t>
      </w:r>
      <w:r>
        <w:rPr>
          <w:rFonts w:hint="eastAsia" w:asciiTheme="minorEastAsia" w:hAnsiTheme="minorEastAsia"/>
          <w:sz w:val="32"/>
          <w:szCs w:val="32"/>
        </w:rPr>
        <w:t>47.10万元，结</w:t>
      </w:r>
      <w:r>
        <w:rPr>
          <w:rFonts w:asciiTheme="minorEastAsia" w:hAnsiTheme="minorEastAsia"/>
          <w:sz w:val="32"/>
          <w:szCs w:val="32"/>
        </w:rPr>
        <w:t>转下年</w:t>
      </w:r>
      <w:r>
        <w:rPr>
          <w:rFonts w:hint="eastAsia" w:asciiTheme="minorEastAsia" w:hAnsiTheme="minorEastAsia"/>
          <w:sz w:val="32"/>
          <w:szCs w:val="32"/>
        </w:rPr>
        <w:t>72.90万元；涟</w:t>
      </w:r>
      <w:r>
        <w:rPr>
          <w:rFonts w:asciiTheme="minorEastAsia" w:hAnsiTheme="minorEastAsia"/>
          <w:sz w:val="32"/>
          <w:szCs w:val="32"/>
        </w:rPr>
        <w:t>源</w:t>
      </w:r>
      <w:r>
        <w:rPr>
          <w:rFonts w:hint="eastAsia" w:asciiTheme="minorEastAsia" w:hAnsiTheme="minorEastAsia"/>
          <w:sz w:val="32"/>
          <w:szCs w:val="32"/>
        </w:rPr>
        <w:t>矿</w:t>
      </w:r>
      <w:r>
        <w:rPr>
          <w:rFonts w:asciiTheme="minorEastAsia" w:hAnsiTheme="minorEastAsia"/>
          <w:sz w:val="32"/>
          <w:szCs w:val="32"/>
        </w:rPr>
        <w:t>产资源国情调查</w:t>
      </w:r>
      <w:r>
        <w:rPr>
          <w:rFonts w:hint="eastAsia" w:asciiTheme="minorEastAsia" w:hAnsiTheme="minorEastAsia"/>
          <w:sz w:val="32"/>
          <w:szCs w:val="32"/>
        </w:rPr>
        <w:t>项目</w:t>
      </w:r>
      <w:r>
        <w:rPr>
          <w:rFonts w:asciiTheme="minorEastAsia" w:hAnsiTheme="minorEastAsia"/>
          <w:sz w:val="32"/>
          <w:szCs w:val="32"/>
        </w:rPr>
        <w:t>预算收入</w:t>
      </w:r>
      <w:r>
        <w:rPr>
          <w:rFonts w:hint="eastAsia" w:asciiTheme="minorEastAsia" w:hAnsiTheme="minorEastAsia"/>
          <w:sz w:val="32"/>
          <w:szCs w:val="32"/>
        </w:rPr>
        <w:t>45万元，实</w:t>
      </w:r>
      <w:r>
        <w:rPr>
          <w:rFonts w:asciiTheme="minorEastAsia" w:hAnsiTheme="minorEastAsia"/>
          <w:sz w:val="32"/>
          <w:szCs w:val="32"/>
        </w:rPr>
        <w:t>际支出</w:t>
      </w:r>
      <w:r>
        <w:rPr>
          <w:rFonts w:hint="eastAsia" w:asciiTheme="minorEastAsia" w:hAnsiTheme="minorEastAsia"/>
          <w:sz w:val="32"/>
          <w:szCs w:val="32"/>
        </w:rPr>
        <w:t>4</w:t>
      </w:r>
      <w:r>
        <w:rPr>
          <w:rFonts w:asciiTheme="minorEastAsia" w:hAnsiTheme="minorEastAsia"/>
          <w:sz w:val="32"/>
          <w:szCs w:val="32"/>
        </w:rPr>
        <w:t>5</w:t>
      </w:r>
      <w:r>
        <w:rPr>
          <w:rFonts w:hint="eastAsia" w:asciiTheme="minorEastAsia" w:hAnsiTheme="minorEastAsia"/>
          <w:sz w:val="32"/>
          <w:szCs w:val="32"/>
        </w:rPr>
        <w:t>万元。</w:t>
      </w:r>
    </w:p>
    <w:p>
      <w:pPr>
        <w:widowControl/>
        <w:spacing w:line="560" w:lineRule="exact"/>
        <w:ind w:firstLine="640" w:firstLineChars="200"/>
        <w:jc w:val="left"/>
        <w:rPr>
          <w:rFonts w:asciiTheme="minorEastAsia" w:hAnsiTheme="minorEastAsia"/>
          <w:sz w:val="32"/>
          <w:szCs w:val="32"/>
        </w:rPr>
      </w:pPr>
      <w:r>
        <w:rPr>
          <w:rFonts w:asciiTheme="minorEastAsia" w:hAnsiTheme="minorEastAsia"/>
          <w:sz w:val="32"/>
          <w:szCs w:val="32"/>
        </w:rPr>
        <w:t>4、</w:t>
      </w:r>
      <w:r>
        <w:rPr>
          <w:rFonts w:hint="eastAsia" w:asciiTheme="minorEastAsia" w:hAnsiTheme="minorEastAsia"/>
          <w:sz w:val="32"/>
          <w:szCs w:val="32"/>
        </w:rPr>
        <w:t>地</w:t>
      </w:r>
      <w:r>
        <w:rPr>
          <w:rFonts w:asciiTheme="minorEastAsia" w:hAnsiTheme="minorEastAsia"/>
          <w:sz w:val="32"/>
          <w:szCs w:val="32"/>
        </w:rPr>
        <w:t>勘改革发展资金</w:t>
      </w:r>
      <w:r>
        <w:rPr>
          <w:rFonts w:hint="eastAsia" w:asciiTheme="minorEastAsia" w:hAnsiTheme="minorEastAsia"/>
          <w:sz w:val="32"/>
          <w:szCs w:val="32"/>
        </w:rPr>
        <w:t>2</w:t>
      </w:r>
      <w:r>
        <w:rPr>
          <w:rFonts w:asciiTheme="minorEastAsia" w:hAnsiTheme="minorEastAsia"/>
          <w:sz w:val="32"/>
          <w:szCs w:val="32"/>
        </w:rPr>
        <w:t>50</w:t>
      </w:r>
      <w:r>
        <w:rPr>
          <w:rFonts w:hint="eastAsia" w:asciiTheme="minorEastAsia" w:hAnsiTheme="minorEastAsia"/>
          <w:sz w:val="32"/>
          <w:szCs w:val="32"/>
        </w:rPr>
        <w:t>万元，主</w:t>
      </w:r>
      <w:r>
        <w:rPr>
          <w:rFonts w:asciiTheme="minorEastAsia" w:hAnsiTheme="minorEastAsia"/>
          <w:sz w:val="32"/>
          <w:szCs w:val="32"/>
        </w:rPr>
        <w:t>要用于</w:t>
      </w:r>
      <w:r>
        <w:rPr>
          <w:rFonts w:hint="eastAsia" w:asciiTheme="minorEastAsia" w:hAnsiTheme="minorEastAsia"/>
          <w:sz w:val="32"/>
          <w:szCs w:val="32"/>
        </w:rPr>
        <w:t>解决</w:t>
      </w:r>
      <w:r>
        <w:rPr>
          <w:rFonts w:asciiTheme="minorEastAsia" w:hAnsiTheme="minorEastAsia"/>
          <w:sz w:val="32"/>
          <w:szCs w:val="32"/>
        </w:rPr>
        <w:t>改革期间</w:t>
      </w:r>
      <w:r>
        <w:rPr>
          <w:rFonts w:hint="eastAsia" w:asciiTheme="minorEastAsia" w:hAnsiTheme="minorEastAsia"/>
          <w:sz w:val="32"/>
          <w:szCs w:val="32"/>
        </w:rPr>
        <w:t>遗</w:t>
      </w:r>
      <w:r>
        <w:rPr>
          <w:rFonts w:asciiTheme="minorEastAsia" w:hAnsiTheme="minorEastAsia"/>
          <w:sz w:val="32"/>
          <w:szCs w:val="32"/>
        </w:rPr>
        <w:t>留问题支出</w:t>
      </w:r>
      <w:r>
        <w:rPr>
          <w:rFonts w:hint="eastAsia" w:asciiTheme="minorEastAsia" w:hAnsiTheme="minorEastAsia"/>
          <w:sz w:val="32"/>
          <w:szCs w:val="32"/>
        </w:rPr>
        <w:t>。</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5、基</w:t>
      </w:r>
      <w:r>
        <w:rPr>
          <w:rFonts w:asciiTheme="minorEastAsia" w:hAnsiTheme="minorEastAsia"/>
          <w:sz w:val="32"/>
          <w:szCs w:val="32"/>
        </w:rPr>
        <w:t>地改造预算收入</w:t>
      </w:r>
      <w:r>
        <w:rPr>
          <w:rFonts w:hint="eastAsia" w:asciiTheme="minorEastAsia" w:hAnsiTheme="minorEastAsia"/>
          <w:sz w:val="32"/>
          <w:szCs w:val="32"/>
        </w:rPr>
        <w:t>5</w:t>
      </w:r>
      <w:r>
        <w:rPr>
          <w:rFonts w:asciiTheme="minorEastAsia" w:hAnsiTheme="minorEastAsia"/>
          <w:sz w:val="32"/>
          <w:szCs w:val="32"/>
        </w:rPr>
        <w:t>0</w:t>
      </w:r>
      <w:r>
        <w:rPr>
          <w:rFonts w:hint="eastAsia" w:asciiTheme="minorEastAsia" w:hAnsiTheme="minorEastAsia"/>
          <w:sz w:val="32"/>
          <w:szCs w:val="32"/>
        </w:rPr>
        <w:t>万元，本</w:t>
      </w:r>
      <w:r>
        <w:rPr>
          <w:rFonts w:asciiTheme="minorEastAsia" w:hAnsiTheme="minorEastAsia"/>
          <w:sz w:val="32"/>
          <w:szCs w:val="32"/>
        </w:rPr>
        <w:t>年无支出</w:t>
      </w:r>
      <w:r>
        <w:rPr>
          <w:rFonts w:hint="eastAsia" w:asciiTheme="minorEastAsia" w:hAnsiTheme="minorEastAsia"/>
          <w:sz w:val="32"/>
          <w:szCs w:val="32"/>
        </w:rPr>
        <w:t>，结</w:t>
      </w:r>
      <w:r>
        <w:rPr>
          <w:rFonts w:asciiTheme="minorEastAsia" w:hAnsiTheme="minorEastAsia"/>
          <w:sz w:val="32"/>
          <w:szCs w:val="32"/>
        </w:rPr>
        <w:t>转下年</w:t>
      </w:r>
      <w:r>
        <w:rPr>
          <w:rFonts w:hint="eastAsia" w:asciiTheme="minorEastAsia" w:hAnsiTheme="minorEastAsia"/>
          <w:sz w:val="32"/>
          <w:szCs w:val="32"/>
        </w:rPr>
        <w:t>。</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color w:val="333333"/>
          <w:sz w:val="32"/>
          <w:szCs w:val="32"/>
          <w:shd w:val="clear" w:color="auto" w:fill="FFFFFF"/>
        </w:rPr>
        <w:t>项目资金严格按指定用途专款专用，实行专项报告制度，并接受财政部门或上级部门的检查、验收。2020年本部门项目支出，基本能够严格按照相关制度规定等进行。</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三、政府性基金预算支出情况</w:t>
      </w:r>
    </w:p>
    <w:p>
      <w:pPr>
        <w:widowControl/>
        <w:spacing w:line="560" w:lineRule="exact"/>
        <w:ind w:firstLine="640" w:firstLineChars="200"/>
        <w:jc w:val="left"/>
        <w:rPr>
          <w:rFonts w:asciiTheme="minorEastAsia" w:hAnsiTheme="minorEastAsia"/>
          <w:color w:val="333333"/>
          <w:sz w:val="32"/>
          <w:szCs w:val="32"/>
          <w:shd w:val="clear" w:color="auto" w:fill="FFFFFF"/>
        </w:rPr>
      </w:pPr>
      <w:r>
        <w:rPr>
          <w:rFonts w:hint="eastAsia" w:asciiTheme="minorEastAsia" w:hAnsiTheme="minorEastAsia"/>
          <w:color w:val="333333"/>
          <w:sz w:val="32"/>
          <w:szCs w:val="32"/>
          <w:shd w:val="clear" w:color="auto" w:fill="FFFFFF"/>
        </w:rPr>
        <w:t>本单位无政府性基金预算支出。</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四、国有资本经营预算支出情况</w:t>
      </w:r>
    </w:p>
    <w:p>
      <w:pPr>
        <w:widowControl/>
        <w:spacing w:line="560" w:lineRule="exact"/>
        <w:ind w:firstLine="640" w:firstLineChars="200"/>
        <w:jc w:val="left"/>
        <w:rPr>
          <w:rFonts w:asciiTheme="minorEastAsia" w:hAnsiTheme="minorEastAsia"/>
          <w:color w:val="333333"/>
          <w:sz w:val="32"/>
          <w:szCs w:val="32"/>
          <w:shd w:val="clear" w:color="auto" w:fill="FFFFFF"/>
        </w:rPr>
      </w:pPr>
      <w:r>
        <w:rPr>
          <w:rFonts w:hint="eastAsia" w:asciiTheme="minorEastAsia" w:hAnsiTheme="minorEastAsia"/>
          <w:color w:val="333333"/>
          <w:sz w:val="32"/>
          <w:szCs w:val="32"/>
          <w:shd w:val="clear" w:color="auto" w:fill="FFFFFF"/>
        </w:rPr>
        <w:t>本单位无国有资本经营预算支出。</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五、社会保险基金预算支出情况</w:t>
      </w:r>
    </w:p>
    <w:p>
      <w:pPr>
        <w:widowControl/>
        <w:spacing w:line="560" w:lineRule="exact"/>
        <w:ind w:firstLine="640" w:firstLineChars="200"/>
        <w:jc w:val="left"/>
        <w:rPr>
          <w:rFonts w:asciiTheme="minorEastAsia" w:hAnsiTheme="minorEastAsia"/>
          <w:color w:val="333333"/>
          <w:sz w:val="32"/>
          <w:szCs w:val="32"/>
          <w:shd w:val="clear" w:color="auto" w:fill="FFFFFF"/>
        </w:rPr>
      </w:pPr>
      <w:r>
        <w:rPr>
          <w:rFonts w:hint="eastAsia" w:asciiTheme="minorEastAsia" w:hAnsiTheme="minorEastAsia"/>
          <w:color w:val="333333"/>
          <w:sz w:val="32"/>
          <w:szCs w:val="32"/>
          <w:shd w:val="clear" w:color="auto" w:fill="FFFFFF"/>
        </w:rPr>
        <w:t>本单位无社会保险基金预算支出。</w:t>
      </w:r>
    </w:p>
    <w:p>
      <w:pPr>
        <w:widowControl/>
        <w:spacing w:line="560" w:lineRule="exact"/>
        <w:ind w:firstLine="640" w:firstLineChars="200"/>
        <w:jc w:val="left"/>
        <w:rPr>
          <w:rFonts w:asciiTheme="minorEastAsia" w:hAnsiTheme="minorEastAsia"/>
          <w:sz w:val="32"/>
          <w:szCs w:val="32"/>
        </w:rPr>
      </w:pPr>
      <w:r>
        <w:rPr>
          <w:rFonts w:hint="eastAsia" w:asciiTheme="minorEastAsia" w:hAnsiTheme="minorEastAsia"/>
          <w:sz w:val="32"/>
          <w:szCs w:val="32"/>
        </w:rPr>
        <w:t>六、单位整体支出绩效情况</w:t>
      </w:r>
    </w:p>
    <w:p>
      <w:pPr>
        <w:widowControl/>
        <w:spacing w:line="560" w:lineRule="exact"/>
        <w:ind w:firstLine="640" w:firstLineChars="200"/>
        <w:jc w:val="left"/>
        <w:rPr>
          <w:rFonts w:asciiTheme="minorEastAsia" w:hAnsiTheme="minorEastAsia"/>
          <w:color w:val="333333"/>
          <w:sz w:val="32"/>
          <w:szCs w:val="32"/>
          <w:shd w:val="clear" w:color="auto" w:fill="FFFFFF"/>
        </w:rPr>
      </w:pPr>
      <w:r>
        <w:rPr>
          <w:rFonts w:hint="eastAsia" w:asciiTheme="minorEastAsia" w:hAnsiTheme="minorEastAsia"/>
          <w:color w:val="333333"/>
          <w:sz w:val="32"/>
          <w:szCs w:val="32"/>
          <w:shd w:val="clear" w:color="auto" w:fill="FFFFFF"/>
        </w:rPr>
        <w:t>2020是全</w:t>
      </w:r>
      <w:r>
        <w:rPr>
          <w:rFonts w:asciiTheme="minorEastAsia" w:hAnsiTheme="minorEastAsia"/>
          <w:color w:val="333333"/>
          <w:sz w:val="32"/>
          <w:szCs w:val="32"/>
          <w:shd w:val="clear" w:color="auto" w:fill="FFFFFF"/>
        </w:rPr>
        <w:t>面建成</w:t>
      </w:r>
      <w:r>
        <w:rPr>
          <w:rFonts w:hint="eastAsia" w:asciiTheme="minorEastAsia" w:hAnsiTheme="minorEastAsia"/>
          <w:color w:val="333333"/>
          <w:sz w:val="32"/>
          <w:szCs w:val="32"/>
          <w:shd w:val="clear" w:color="auto" w:fill="FFFFFF"/>
        </w:rPr>
        <w:t>小</w:t>
      </w:r>
      <w:r>
        <w:rPr>
          <w:rFonts w:asciiTheme="minorEastAsia" w:hAnsiTheme="minorEastAsia"/>
          <w:color w:val="333333"/>
          <w:sz w:val="32"/>
          <w:szCs w:val="32"/>
          <w:shd w:val="clear" w:color="auto" w:fill="FFFFFF"/>
        </w:rPr>
        <w:t>康社会和</w:t>
      </w:r>
      <w:r>
        <w:rPr>
          <w:rFonts w:hint="eastAsia" w:asciiTheme="minorEastAsia" w:hAnsiTheme="minorEastAsia"/>
          <w:color w:val="333333"/>
          <w:sz w:val="32"/>
          <w:szCs w:val="32"/>
          <w:shd w:val="clear" w:color="auto" w:fill="FFFFFF"/>
        </w:rPr>
        <w:t>“十</w:t>
      </w:r>
      <w:r>
        <w:rPr>
          <w:rFonts w:asciiTheme="minorEastAsia" w:hAnsiTheme="minorEastAsia"/>
          <w:color w:val="333333"/>
          <w:sz w:val="32"/>
          <w:szCs w:val="32"/>
          <w:shd w:val="clear" w:color="auto" w:fill="FFFFFF"/>
        </w:rPr>
        <w:t>三五规划收官</w:t>
      </w:r>
      <w:r>
        <w:rPr>
          <w:rFonts w:hint="eastAsia" w:asciiTheme="minorEastAsia" w:hAnsiTheme="minorEastAsia"/>
          <w:color w:val="333333"/>
          <w:sz w:val="32"/>
          <w:szCs w:val="32"/>
          <w:shd w:val="clear" w:color="auto" w:fill="FFFFFF"/>
        </w:rPr>
        <w:t>之</w:t>
      </w:r>
      <w:r>
        <w:rPr>
          <w:rFonts w:asciiTheme="minorEastAsia" w:hAnsiTheme="minorEastAsia"/>
          <w:color w:val="333333"/>
          <w:sz w:val="32"/>
          <w:szCs w:val="32"/>
          <w:shd w:val="clear" w:color="auto" w:fill="FFFFFF"/>
        </w:rPr>
        <w:t>年</w:t>
      </w:r>
      <w:r>
        <w:rPr>
          <w:rFonts w:hint="eastAsia" w:asciiTheme="minorEastAsia" w:hAnsiTheme="minorEastAsia"/>
          <w:color w:val="333333"/>
          <w:sz w:val="32"/>
          <w:szCs w:val="32"/>
          <w:shd w:val="clear" w:color="auto" w:fill="FFFFFF"/>
        </w:rPr>
        <w:t>，</w:t>
      </w:r>
      <w:r>
        <w:rPr>
          <w:rFonts w:hint="eastAsia" w:asciiTheme="minorEastAsia" w:hAnsiTheme="minorEastAsia"/>
          <w:sz w:val="32"/>
          <w:szCs w:val="32"/>
        </w:rPr>
        <w:t>我队在院党委的坚强领导下，在面对疫情和外部环境压力叠加影响下，坚持稳中求进工作总基调，以促改革、稳增长、防风险、保稳定为主线，以党建为引领，统筹推进地质工作、经济工作、管理工作、民生工作，努力达到改革步稳、发展平稳、队伍安稳。</w:t>
      </w:r>
    </w:p>
    <w:p>
      <w:pPr>
        <w:widowControl/>
        <w:spacing w:line="560" w:lineRule="exact"/>
        <w:ind w:firstLine="640" w:firstLineChars="200"/>
        <w:jc w:val="left"/>
        <w:rPr>
          <w:rFonts w:asciiTheme="minorEastAsia" w:hAnsiTheme="minorEastAsia"/>
          <w:sz w:val="32"/>
          <w:szCs w:val="32"/>
        </w:rPr>
      </w:pPr>
      <w:r>
        <w:rPr>
          <w:rFonts w:asciiTheme="minorEastAsia" w:hAnsiTheme="minorEastAsia"/>
          <w:sz w:val="32"/>
          <w:szCs w:val="32"/>
        </w:rPr>
        <w:t>1、</w:t>
      </w:r>
      <w:r>
        <w:rPr>
          <w:rFonts w:hint="eastAsia" w:asciiTheme="minorEastAsia" w:hAnsiTheme="minorEastAsia"/>
          <w:sz w:val="32"/>
          <w:szCs w:val="32"/>
        </w:rPr>
        <w:t>2020年部</w:t>
      </w:r>
      <w:r>
        <w:rPr>
          <w:rFonts w:asciiTheme="minorEastAsia" w:hAnsiTheme="minorEastAsia"/>
          <w:sz w:val="32"/>
          <w:szCs w:val="32"/>
        </w:rPr>
        <w:t>门</w:t>
      </w:r>
      <w:r>
        <w:rPr>
          <w:rFonts w:hint="eastAsia" w:asciiTheme="minorEastAsia" w:hAnsiTheme="minorEastAsia"/>
          <w:sz w:val="32"/>
          <w:szCs w:val="32"/>
        </w:rPr>
        <w:t>预</w:t>
      </w:r>
      <w:r>
        <w:rPr>
          <w:rFonts w:asciiTheme="minorEastAsia" w:hAnsiTheme="minorEastAsia"/>
          <w:sz w:val="32"/>
          <w:szCs w:val="32"/>
        </w:rPr>
        <w:t>算收入总额</w:t>
      </w:r>
      <w:r>
        <w:rPr>
          <w:rFonts w:hint="eastAsia" w:asciiTheme="minorEastAsia" w:hAnsiTheme="minorEastAsia"/>
          <w:sz w:val="32"/>
          <w:szCs w:val="32"/>
        </w:rPr>
        <w:t>9723.54万元（其</w:t>
      </w:r>
      <w:r>
        <w:rPr>
          <w:rFonts w:asciiTheme="minorEastAsia" w:hAnsiTheme="minorEastAsia"/>
          <w:sz w:val="32"/>
          <w:szCs w:val="32"/>
        </w:rPr>
        <w:t>中一般</w:t>
      </w:r>
      <w:r>
        <w:rPr>
          <w:rFonts w:hint="eastAsia" w:asciiTheme="minorEastAsia" w:hAnsiTheme="minorEastAsia"/>
          <w:sz w:val="32"/>
          <w:szCs w:val="32"/>
        </w:rPr>
        <w:t>公</w:t>
      </w:r>
      <w:r>
        <w:rPr>
          <w:rFonts w:asciiTheme="minorEastAsia" w:hAnsiTheme="minorEastAsia"/>
          <w:sz w:val="32"/>
          <w:szCs w:val="32"/>
        </w:rPr>
        <w:t>共预算</w:t>
      </w:r>
      <w:r>
        <w:rPr>
          <w:rFonts w:hint="eastAsia" w:asciiTheme="minorEastAsia" w:hAnsiTheme="minorEastAsia"/>
          <w:sz w:val="32"/>
          <w:szCs w:val="32"/>
        </w:rPr>
        <w:t>财</w:t>
      </w:r>
      <w:r>
        <w:rPr>
          <w:rFonts w:asciiTheme="minorEastAsia" w:hAnsiTheme="minorEastAsia"/>
          <w:sz w:val="32"/>
          <w:szCs w:val="32"/>
        </w:rPr>
        <w:t>政拨款收入</w:t>
      </w:r>
      <w:r>
        <w:rPr>
          <w:rFonts w:hint="eastAsia" w:asciiTheme="minorEastAsia" w:hAnsiTheme="minorEastAsia"/>
          <w:sz w:val="32"/>
          <w:szCs w:val="32"/>
        </w:rPr>
        <w:t>4725.27万元，经</w:t>
      </w:r>
      <w:r>
        <w:rPr>
          <w:rFonts w:asciiTheme="minorEastAsia" w:hAnsiTheme="minorEastAsia"/>
          <w:sz w:val="32"/>
          <w:szCs w:val="32"/>
        </w:rPr>
        <w:t>营收入</w:t>
      </w:r>
      <w:r>
        <w:rPr>
          <w:rFonts w:hint="eastAsia" w:asciiTheme="minorEastAsia" w:hAnsiTheme="minorEastAsia"/>
          <w:sz w:val="32"/>
          <w:szCs w:val="32"/>
        </w:rPr>
        <w:t>4998.</w:t>
      </w:r>
      <w:r>
        <w:rPr>
          <w:rFonts w:asciiTheme="minorEastAsia" w:hAnsiTheme="minorEastAsia"/>
          <w:sz w:val="32"/>
          <w:szCs w:val="32"/>
        </w:rPr>
        <w:t>2</w:t>
      </w:r>
      <w:r>
        <w:rPr>
          <w:rFonts w:hint="eastAsia" w:asciiTheme="minorEastAsia" w:hAnsiTheme="minorEastAsia"/>
          <w:sz w:val="32"/>
          <w:szCs w:val="32"/>
        </w:rPr>
        <w:t>7万元），较</w:t>
      </w:r>
      <w:r>
        <w:rPr>
          <w:rFonts w:asciiTheme="minorEastAsia" w:hAnsiTheme="minorEastAsia"/>
          <w:sz w:val="32"/>
          <w:szCs w:val="32"/>
        </w:rPr>
        <w:t>上年同比增加</w:t>
      </w:r>
      <w:r>
        <w:rPr>
          <w:rFonts w:hint="eastAsia" w:asciiTheme="minorEastAsia" w:hAnsiTheme="minorEastAsia"/>
          <w:sz w:val="32"/>
          <w:szCs w:val="32"/>
        </w:rPr>
        <w:t>0.08%。2</w:t>
      </w:r>
      <w:r>
        <w:rPr>
          <w:rFonts w:asciiTheme="minorEastAsia" w:hAnsiTheme="minorEastAsia"/>
          <w:sz w:val="32"/>
          <w:szCs w:val="32"/>
        </w:rPr>
        <w:t>020</w:t>
      </w:r>
      <w:r>
        <w:rPr>
          <w:rFonts w:hint="eastAsia" w:asciiTheme="minorEastAsia" w:hAnsiTheme="minorEastAsia"/>
          <w:sz w:val="32"/>
          <w:szCs w:val="32"/>
        </w:rPr>
        <w:t>年</w:t>
      </w:r>
      <w:r>
        <w:rPr>
          <w:rFonts w:asciiTheme="minorEastAsia" w:hAnsiTheme="minorEastAsia"/>
          <w:sz w:val="32"/>
          <w:szCs w:val="32"/>
        </w:rPr>
        <w:t>预算总支出</w:t>
      </w:r>
      <w:r>
        <w:rPr>
          <w:rFonts w:hint="eastAsia" w:asciiTheme="minorEastAsia" w:hAnsiTheme="minorEastAsia"/>
          <w:sz w:val="32"/>
          <w:szCs w:val="32"/>
        </w:rPr>
        <w:t>10346.32万元（其</w:t>
      </w:r>
      <w:r>
        <w:rPr>
          <w:rFonts w:asciiTheme="minorEastAsia" w:hAnsiTheme="minorEastAsia"/>
          <w:sz w:val="32"/>
          <w:szCs w:val="32"/>
        </w:rPr>
        <w:t>中基本支出</w:t>
      </w:r>
      <w:r>
        <w:rPr>
          <w:rFonts w:hint="eastAsia" w:asciiTheme="minorEastAsia" w:hAnsiTheme="minorEastAsia"/>
          <w:sz w:val="32"/>
          <w:szCs w:val="32"/>
        </w:rPr>
        <w:t>4893.87万元，项</w:t>
      </w:r>
      <w:r>
        <w:rPr>
          <w:rFonts w:asciiTheme="minorEastAsia" w:hAnsiTheme="minorEastAsia"/>
          <w:sz w:val="32"/>
          <w:szCs w:val="32"/>
        </w:rPr>
        <w:t>目支出</w:t>
      </w:r>
      <w:r>
        <w:rPr>
          <w:rFonts w:hint="eastAsia" w:asciiTheme="minorEastAsia" w:hAnsiTheme="minorEastAsia"/>
          <w:sz w:val="32"/>
          <w:szCs w:val="32"/>
        </w:rPr>
        <w:t>506.</w:t>
      </w:r>
      <w:r>
        <w:rPr>
          <w:rFonts w:asciiTheme="minorEastAsia" w:hAnsiTheme="minorEastAsia"/>
          <w:sz w:val="32"/>
          <w:szCs w:val="32"/>
        </w:rPr>
        <w:t>2</w:t>
      </w:r>
      <w:r>
        <w:rPr>
          <w:rFonts w:hint="eastAsia" w:asciiTheme="minorEastAsia" w:hAnsiTheme="minorEastAsia"/>
          <w:sz w:val="32"/>
          <w:szCs w:val="32"/>
        </w:rPr>
        <w:t>8万元，经营</w:t>
      </w:r>
      <w:r>
        <w:rPr>
          <w:rFonts w:asciiTheme="minorEastAsia" w:hAnsiTheme="minorEastAsia"/>
          <w:sz w:val="32"/>
          <w:szCs w:val="32"/>
        </w:rPr>
        <w:t>支出</w:t>
      </w:r>
      <w:r>
        <w:rPr>
          <w:rFonts w:hint="eastAsia" w:asciiTheme="minorEastAsia" w:hAnsiTheme="minorEastAsia"/>
          <w:sz w:val="32"/>
          <w:szCs w:val="32"/>
        </w:rPr>
        <w:t>4946.17万元），较</w:t>
      </w:r>
      <w:r>
        <w:rPr>
          <w:rFonts w:asciiTheme="minorEastAsia" w:hAnsiTheme="minorEastAsia"/>
          <w:sz w:val="32"/>
          <w:szCs w:val="32"/>
        </w:rPr>
        <w:t>上年同比增加</w:t>
      </w:r>
      <w:r>
        <w:rPr>
          <w:rFonts w:hint="eastAsia" w:asciiTheme="minorEastAsia" w:hAnsiTheme="minorEastAsia"/>
          <w:sz w:val="32"/>
          <w:szCs w:val="32"/>
        </w:rPr>
        <w:t>16.24%。上</w:t>
      </w:r>
      <w:r>
        <w:rPr>
          <w:rFonts w:asciiTheme="minorEastAsia" w:hAnsiTheme="minorEastAsia"/>
          <w:sz w:val="32"/>
          <w:szCs w:val="32"/>
        </w:rPr>
        <w:t>年</w:t>
      </w:r>
      <w:r>
        <w:rPr>
          <w:rFonts w:hint="eastAsia" w:asciiTheme="minorEastAsia" w:hAnsiTheme="minorEastAsia"/>
          <w:sz w:val="32"/>
          <w:szCs w:val="32"/>
        </w:rPr>
        <w:t>结</w:t>
      </w:r>
      <w:r>
        <w:rPr>
          <w:rFonts w:asciiTheme="minorEastAsia" w:hAnsiTheme="minorEastAsia"/>
          <w:sz w:val="32"/>
          <w:szCs w:val="32"/>
        </w:rPr>
        <w:t>转</w:t>
      </w:r>
      <w:r>
        <w:rPr>
          <w:rFonts w:hint="eastAsia" w:asciiTheme="minorEastAsia" w:hAnsiTheme="minorEastAsia"/>
          <w:sz w:val="32"/>
          <w:szCs w:val="32"/>
        </w:rPr>
        <w:t>797.78万元，年</w:t>
      </w:r>
      <w:r>
        <w:rPr>
          <w:rFonts w:asciiTheme="minorEastAsia" w:hAnsiTheme="minorEastAsia"/>
          <w:sz w:val="32"/>
          <w:szCs w:val="32"/>
        </w:rPr>
        <w:t>未结转决算数</w:t>
      </w:r>
      <w:r>
        <w:rPr>
          <w:rFonts w:hint="eastAsia" w:asciiTheme="minorEastAsia" w:hAnsiTheme="minorEastAsia"/>
          <w:sz w:val="32"/>
          <w:szCs w:val="32"/>
        </w:rPr>
        <w:t>122.90万元。</w:t>
      </w:r>
    </w:p>
    <w:p>
      <w:pPr>
        <w:spacing w:line="560" w:lineRule="exact"/>
        <w:ind w:firstLine="640" w:firstLineChars="200"/>
        <w:rPr>
          <w:rFonts w:cs="仿宋" w:asciiTheme="minorEastAsia" w:hAnsiTheme="minorEastAsia"/>
          <w:sz w:val="32"/>
          <w:szCs w:val="32"/>
        </w:rPr>
      </w:pPr>
      <w:r>
        <w:rPr>
          <w:rFonts w:hint="eastAsia" w:asciiTheme="minorEastAsia" w:hAnsiTheme="minorEastAsia"/>
          <w:sz w:val="32"/>
          <w:szCs w:val="32"/>
        </w:rPr>
        <w:t>2、</w:t>
      </w:r>
      <w:r>
        <w:rPr>
          <w:rFonts w:hint="eastAsia" w:cs="仿宋" w:asciiTheme="minorEastAsia" w:hAnsiTheme="minorEastAsia"/>
          <w:sz w:val="32"/>
          <w:szCs w:val="32"/>
        </w:rPr>
        <w:t>加强了项目成本管理，严格控制项目资金，缓解了队流动资金紧张的局面。工勘一、二院实现了扭亏局面，2020年我队经济效益有较大提升。</w:t>
      </w:r>
    </w:p>
    <w:p>
      <w:pPr>
        <w:spacing w:line="560" w:lineRule="exact"/>
        <w:ind w:firstLine="640" w:firstLineChars="200"/>
        <w:rPr>
          <w:rFonts w:cs="仿宋" w:asciiTheme="minorEastAsia" w:hAnsiTheme="minorEastAsia"/>
          <w:sz w:val="32"/>
          <w:szCs w:val="32"/>
        </w:rPr>
      </w:pPr>
      <w:r>
        <w:rPr>
          <w:rFonts w:hint="eastAsia" w:cs="仿宋" w:asciiTheme="minorEastAsia" w:hAnsiTheme="minorEastAsia"/>
          <w:sz w:val="32"/>
          <w:szCs w:val="32"/>
        </w:rPr>
        <w:t>3、财</w:t>
      </w:r>
      <w:r>
        <w:rPr>
          <w:rFonts w:cs="仿宋" w:asciiTheme="minorEastAsia" w:hAnsiTheme="minorEastAsia"/>
          <w:sz w:val="32"/>
          <w:szCs w:val="32"/>
        </w:rPr>
        <w:t>务管理进一步规范</w:t>
      </w:r>
      <w:r>
        <w:rPr>
          <w:rFonts w:hint="eastAsia" w:cs="仿宋" w:asciiTheme="minorEastAsia" w:hAnsiTheme="minorEastAsia"/>
          <w:sz w:val="32"/>
          <w:szCs w:val="32"/>
        </w:rPr>
        <w:t>，对项目借支增加了审核力度。杜绝了无项目成本预算、无资金计划的借资形为，规范了委外机组的劳务费用的支付，实体单位透资减少10.4﹪。同时加大债权的催收力度，定期召开债权催收会议，应收账款回收工作取得了一定成效。已按期偿还银行贷款200万元，我队银行贷款实现了清零。全面完成了省地质院下达的资金管理目标。</w:t>
      </w:r>
    </w:p>
    <w:p>
      <w:pPr>
        <w:pStyle w:val="000013"/>
        <w:spacing w:line="56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劳动人事管理进一步加强。一是全年共新增安置13名具有一定技能或生活困难的职工上岗，提高了职工的上岗率。二是规范了不同岗位人员调配程序。管理岗位实现了公开竞聘上岗；后勤服务岗位按职工家庭生活困难程度、野外一线职工年龄偏大和伤病程度排序安置；生产一线岗位按专技特长及职工的申请要求安排。三是补办了127名待岗缓聘职工聘用手续，通过取得省人</w:t>
      </w:r>
      <w:r>
        <w:rPr>
          <w:rFonts w:cs="仿宋" w:asciiTheme="minorEastAsia" w:hAnsiTheme="minorEastAsia" w:eastAsiaTheme="minorEastAsia"/>
          <w:sz w:val="32"/>
          <w:szCs w:val="32"/>
        </w:rPr>
        <w:t>社厅</w:t>
      </w:r>
      <w:r>
        <w:rPr>
          <w:rFonts w:hint="eastAsia" w:cs="仿宋" w:asciiTheme="minorEastAsia" w:hAnsiTheme="minorEastAsia" w:eastAsiaTheme="minorEastAsia"/>
          <w:sz w:val="32"/>
          <w:szCs w:val="32"/>
        </w:rPr>
        <w:t>积极支持，解除了我队缓聘人数多可能给地勘单位改革带来重大影响的潜在隐患，保障了职工的切身利益。四是增调了待岗职工生活待遇标准，缓解了待岗人员生活困难问题，确保了队伍稳定。</w:t>
      </w:r>
    </w:p>
    <w:p>
      <w:pPr>
        <w:spacing w:line="560" w:lineRule="exact"/>
        <w:ind w:firstLine="555"/>
        <w:rPr>
          <w:rFonts w:cs="仿宋" w:asciiTheme="minorEastAsia" w:hAnsiTheme="minorEastAsia"/>
          <w:sz w:val="32"/>
          <w:szCs w:val="32"/>
        </w:rPr>
      </w:pPr>
      <w:r>
        <w:rPr>
          <w:rFonts w:hint="eastAsia" w:cs="仿宋" w:asciiTheme="minorEastAsia" w:hAnsiTheme="minorEastAsia"/>
          <w:sz w:val="32"/>
          <w:szCs w:val="32"/>
        </w:rPr>
        <w:t>5、综合治理工作进一步细化。一是定期召开综治</w:t>
      </w:r>
      <w:r>
        <w:rPr>
          <w:rFonts w:cs="仿宋" w:asciiTheme="minorEastAsia" w:hAnsiTheme="minorEastAsia"/>
          <w:sz w:val="32"/>
          <w:szCs w:val="32"/>
        </w:rPr>
        <w:t>维稳</w:t>
      </w:r>
      <w:r>
        <w:rPr>
          <w:rFonts w:hint="eastAsia" w:cs="仿宋" w:asciiTheme="minorEastAsia" w:hAnsiTheme="minorEastAsia"/>
          <w:sz w:val="32"/>
          <w:szCs w:val="32"/>
        </w:rPr>
        <w:t>专题会议，加大了综治维稳工作推进力度。二是对受理的3起信访事件，做好了心理疏导和安抚工作，重要节点对重点信访人员进行了上门拜访，信访问题得到了有效化解。三是开展了平安建设先进单位创建活动，推动了单位平安和谐建设。因制度的健全、主要历史遗留问题的解决以及疏导工作的加强，2020年，我队没有发生一起职工上访事件，开创了连续两年职工“零上访”的和谐稳定新局面。</w:t>
      </w:r>
    </w:p>
    <w:p>
      <w:pPr>
        <w:spacing w:line="560" w:lineRule="exact"/>
        <w:ind w:firstLine="480" w:firstLineChars="150"/>
        <w:rPr>
          <w:rFonts w:cs="仿宋" w:asciiTheme="minorEastAsia" w:hAnsiTheme="minorEastAsia"/>
          <w:sz w:val="32"/>
          <w:szCs w:val="32"/>
        </w:rPr>
      </w:pPr>
      <w:r>
        <w:rPr>
          <w:rFonts w:hint="eastAsia" w:cs="仿宋" w:asciiTheme="minorEastAsia" w:hAnsiTheme="minorEastAsia"/>
          <w:sz w:val="32"/>
          <w:szCs w:val="32"/>
        </w:rPr>
        <w:t>6、“救助实事”：1、元旦、春节开展了送温暖活动，对贫困职工进行了慰问。对2020年度困难职工进行了“三不让”审定：助困34人，助医11人，共帮扶45人，发放帮扶资金14.4万元。2、看望慰问因病住院的在职职工和退休人员97人次。3、组织职工为周滨涛同志进行爱心捐款，共募集爱心款27380元。对工勘一院职工刘勇募集爱心款13200元。</w:t>
      </w:r>
    </w:p>
    <w:p>
      <w:pPr>
        <w:spacing w:line="560" w:lineRule="exact"/>
        <w:ind w:firstLine="480" w:firstLineChars="150"/>
        <w:rPr>
          <w:rFonts w:cs="仿宋" w:asciiTheme="minorEastAsia" w:hAnsiTheme="minorEastAsia"/>
          <w:sz w:val="32"/>
          <w:szCs w:val="32"/>
        </w:rPr>
      </w:pPr>
      <w:r>
        <w:rPr>
          <w:rFonts w:hint="eastAsia" w:cs="仿宋" w:asciiTheme="minorEastAsia" w:hAnsiTheme="minorEastAsia"/>
          <w:sz w:val="32"/>
          <w:szCs w:val="32"/>
        </w:rPr>
        <w:t>7、</w:t>
      </w:r>
      <w:r>
        <w:rPr>
          <w:rFonts w:hint="eastAsia" w:cs="仿宋" w:asciiTheme="minorEastAsia" w:hAnsiTheme="minorEastAsia"/>
          <w:b/>
          <w:bCs/>
          <w:sz w:val="32"/>
          <w:szCs w:val="32"/>
        </w:rPr>
        <w:t>“</w:t>
      </w:r>
      <w:r>
        <w:rPr>
          <w:rFonts w:hint="eastAsia" w:cs="仿宋" w:asciiTheme="minorEastAsia" w:hAnsiTheme="minorEastAsia"/>
          <w:sz w:val="32"/>
          <w:szCs w:val="32"/>
        </w:rPr>
        <w:t>健民实事”：组织爱好书画、摄影的离退休人员积极参加省地质院组织的“金秋党旗红、共筑中国梦”书画展等系列活动，取得了优胜奖；邀请中国中医研究院促进会成员来我队为职工进行义诊，使我队职工接受到了健康咨询；举行了队第四届职工气排球比赛；机关、涟源基地、地质技术院、物测院等分会还陆续举行了其他系列职工活动。</w:t>
      </w:r>
    </w:p>
    <w:p>
      <w:pPr>
        <w:spacing w:line="560" w:lineRule="exact"/>
        <w:ind w:firstLine="640" w:firstLineChars="200"/>
        <w:rPr>
          <w:rFonts w:cs="仿宋" w:asciiTheme="minorEastAsia" w:hAnsiTheme="minorEastAsia"/>
          <w:sz w:val="32"/>
          <w:szCs w:val="32"/>
        </w:rPr>
      </w:pPr>
      <w:r>
        <w:rPr>
          <w:rFonts w:hint="eastAsia" w:cs="仿宋" w:asciiTheme="minorEastAsia" w:hAnsiTheme="minorEastAsia"/>
          <w:sz w:val="32"/>
          <w:szCs w:val="32"/>
        </w:rPr>
        <w:t>8、“安居实事”： 株洲基地投入基建费29.65万元，安装了车辆出入智能系统、电瓶车安全充电桩装置、修建了门球练习场，翻新了办公楼、食堂的墙面。涟源基地投入基建费86万元，解决了家属楼348户水压低、用水无保障问题、对家属楼15栋的污水排放及配套设施进行了维修改造、对涟源基地办公室屋顶进行了翻新。</w:t>
      </w:r>
    </w:p>
    <w:p>
      <w:pPr>
        <w:spacing w:line="560" w:lineRule="exact"/>
        <w:ind w:firstLine="480" w:firstLineChars="150"/>
        <w:rPr>
          <w:rFonts w:cs="仿宋" w:asciiTheme="minorEastAsia" w:hAnsiTheme="minorEastAsia"/>
          <w:sz w:val="32"/>
          <w:szCs w:val="32"/>
        </w:rPr>
      </w:pPr>
      <w:r>
        <w:rPr>
          <w:rFonts w:hint="eastAsia" w:cs="仿宋" w:asciiTheme="minorEastAsia" w:hAnsiTheme="minorEastAsia"/>
          <w:sz w:val="32"/>
          <w:szCs w:val="32"/>
        </w:rPr>
        <w:t>9、“文化实事”：加强了宣传力度，在省地质院湖南地质报、网站等新闻媒体投递稿件近30余篇，在队新创建的公众号微信平台发布各类宣传稿件近100篇，广泛宣传我队改革发展中和疫情防控期间涌现的好事迹、好典型。通过正面宣传营造风清气正的良好氛围。</w:t>
      </w:r>
    </w:p>
    <w:p>
      <w:pPr>
        <w:spacing w:line="560" w:lineRule="exact"/>
        <w:ind w:firstLine="480" w:firstLineChars="150"/>
        <w:rPr>
          <w:rFonts w:cs="仿宋" w:asciiTheme="minorEastAsia" w:hAnsiTheme="minorEastAsia"/>
          <w:sz w:val="32"/>
          <w:szCs w:val="32"/>
        </w:rPr>
      </w:pPr>
      <w:r>
        <w:rPr>
          <w:rFonts w:hint="eastAsia" w:cs="仿宋" w:asciiTheme="minorEastAsia" w:hAnsiTheme="minorEastAsia"/>
          <w:sz w:val="32"/>
          <w:szCs w:val="32"/>
        </w:rPr>
        <w:t>10、“平安实事”：全年共接待来访退休人员137人次，电话、视频解答问题658人次，走访慰问20人次，离退休人员感受到了单位的关爱；全年依法按政策处理信访问题，建立良好的信访工作秩序，未发生到上级部门的上访事件，平安建设工作取得较大的成绩。</w:t>
      </w:r>
    </w:p>
    <w:p>
      <w:pPr>
        <w:widowControl/>
        <w:spacing w:line="600" w:lineRule="exact"/>
        <w:ind/>
        <w:jc w:val="left"/>
        <w:rPr>
          <w:rFonts w:asciiTheme="minorEastAsia" w:hAnsiTheme="minorEastAsia"/>
          <w:sz w:val="32"/>
          <w:szCs w:val="32"/>
        </w:rPr>
      </w:pPr>
      <w:r>
        <w:rPr>
          <w:rFonts w:hint="eastAsia" w:asciiTheme="minorEastAsia" w:hAnsiTheme="minorEastAsia"/>
          <w:sz w:val="32"/>
          <w:szCs w:val="32"/>
        </w:rPr>
        <w:t>七、存在的问题及原因分析</w:t>
      </w:r>
    </w:p>
    <w:p>
      <w:pPr>
        <w:widowControl/>
        <w:spacing w:line="600" w:lineRule="exact"/>
        <w:ind w:firstLine="640" w:firstLineChars="200"/>
        <w:jc w:val="left"/>
        <w:rPr>
          <w:rFonts w:asciiTheme="minorEastAsia" w:hAnsiTheme="minorEastAsia"/>
          <w:sz w:val="32"/>
          <w:szCs w:val="32"/>
        </w:rPr>
      </w:pPr>
      <w:r>
        <w:rPr>
          <w:rFonts w:hint="eastAsia" w:asciiTheme="minorEastAsia" w:hAnsiTheme="minorEastAsia"/>
          <w:sz w:val="32"/>
          <w:szCs w:val="32"/>
        </w:rPr>
        <w:t>对</w:t>
      </w:r>
      <w:r>
        <w:rPr>
          <w:rFonts w:asciiTheme="minorEastAsia" w:hAnsiTheme="minorEastAsia"/>
          <w:sz w:val="32"/>
          <w:szCs w:val="32"/>
        </w:rPr>
        <w:t>照</w:t>
      </w:r>
      <w:r>
        <w:rPr>
          <w:rFonts w:hint="eastAsia" w:asciiTheme="minorEastAsia" w:hAnsiTheme="minorEastAsia"/>
          <w:sz w:val="32"/>
          <w:szCs w:val="32"/>
        </w:rPr>
        <w:t>会</w:t>
      </w:r>
      <w:r>
        <w:rPr>
          <w:rFonts w:asciiTheme="minorEastAsia" w:hAnsiTheme="minorEastAsia"/>
          <w:sz w:val="32"/>
          <w:szCs w:val="32"/>
        </w:rPr>
        <w:t>计基础工作规范化</w:t>
      </w:r>
      <w:r>
        <w:rPr>
          <w:rFonts w:hint="eastAsia" w:asciiTheme="minorEastAsia" w:hAnsiTheme="minorEastAsia"/>
          <w:sz w:val="32"/>
          <w:szCs w:val="32"/>
        </w:rPr>
        <w:t>规定</w:t>
      </w:r>
      <w:r>
        <w:rPr>
          <w:rFonts w:asciiTheme="minorEastAsia" w:hAnsiTheme="minorEastAsia"/>
          <w:sz w:val="32"/>
          <w:szCs w:val="32"/>
        </w:rPr>
        <w:t>的要求</w:t>
      </w:r>
      <w:r>
        <w:rPr>
          <w:rFonts w:hint="eastAsia" w:asciiTheme="minorEastAsia" w:hAnsiTheme="minorEastAsia"/>
          <w:sz w:val="32"/>
          <w:szCs w:val="32"/>
        </w:rPr>
        <w:t>，仍</w:t>
      </w:r>
      <w:r>
        <w:rPr>
          <w:rFonts w:asciiTheme="minorEastAsia" w:hAnsiTheme="minorEastAsia"/>
          <w:sz w:val="32"/>
          <w:szCs w:val="32"/>
        </w:rPr>
        <w:t>存在一定的</w:t>
      </w:r>
      <w:r>
        <w:rPr>
          <w:rFonts w:hint="eastAsia" w:asciiTheme="minorEastAsia" w:hAnsiTheme="minorEastAsia"/>
          <w:sz w:val="32"/>
          <w:szCs w:val="32"/>
        </w:rPr>
        <w:t>差</w:t>
      </w:r>
      <w:r>
        <w:rPr>
          <w:rFonts w:asciiTheme="minorEastAsia" w:hAnsiTheme="minorEastAsia"/>
          <w:sz w:val="32"/>
          <w:szCs w:val="32"/>
        </w:rPr>
        <w:t>距</w:t>
      </w:r>
      <w:r>
        <w:rPr>
          <w:rFonts w:hint="eastAsia" w:asciiTheme="minorEastAsia" w:hAnsiTheme="minorEastAsia"/>
          <w:sz w:val="32"/>
          <w:szCs w:val="32"/>
        </w:rPr>
        <w:t>，如</w:t>
      </w:r>
      <w:r>
        <w:rPr>
          <w:rFonts w:asciiTheme="minorEastAsia" w:hAnsiTheme="minorEastAsia"/>
          <w:sz w:val="32"/>
          <w:szCs w:val="32"/>
        </w:rPr>
        <w:t>预算编制</w:t>
      </w:r>
      <w:r>
        <w:rPr>
          <w:rFonts w:hint="eastAsia" w:asciiTheme="minorEastAsia" w:hAnsiTheme="minorEastAsia"/>
          <w:sz w:val="32"/>
          <w:szCs w:val="32"/>
        </w:rPr>
        <w:t>应</w:t>
      </w:r>
      <w:r>
        <w:rPr>
          <w:rFonts w:asciiTheme="minorEastAsia" w:hAnsiTheme="minorEastAsia"/>
          <w:sz w:val="32"/>
          <w:szCs w:val="32"/>
        </w:rPr>
        <w:t>更加细化</w:t>
      </w:r>
      <w:r>
        <w:rPr>
          <w:rFonts w:hint="eastAsia" w:asciiTheme="minorEastAsia" w:hAnsiTheme="minorEastAsia"/>
          <w:sz w:val="32"/>
          <w:szCs w:val="32"/>
        </w:rPr>
        <w:t>，预</w:t>
      </w:r>
      <w:r>
        <w:rPr>
          <w:rFonts w:asciiTheme="minorEastAsia" w:hAnsiTheme="minorEastAsia"/>
          <w:sz w:val="32"/>
          <w:szCs w:val="32"/>
        </w:rPr>
        <w:t>算的执行力度和合理性还需加强</w:t>
      </w:r>
      <w:r>
        <w:rPr>
          <w:rFonts w:hint="eastAsia" w:asciiTheme="minorEastAsia" w:hAnsiTheme="minorEastAsia"/>
          <w:sz w:val="32"/>
          <w:szCs w:val="32"/>
        </w:rPr>
        <w:t>，项目资</w:t>
      </w:r>
      <w:r>
        <w:rPr>
          <w:rFonts w:asciiTheme="minorEastAsia" w:hAnsiTheme="minorEastAsia"/>
          <w:sz w:val="32"/>
          <w:szCs w:val="32"/>
        </w:rPr>
        <w:t>金管理</w:t>
      </w:r>
      <w:r>
        <w:rPr>
          <w:rFonts w:hint="eastAsia" w:asciiTheme="minorEastAsia" w:hAnsiTheme="minorEastAsia"/>
          <w:sz w:val="32"/>
          <w:szCs w:val="32"/>
        </w:rPr>
        <w:t>有</w:t>
      </w:r>
      <w:r>
        <w:rPr>
          <w:rFonts w:asciiTheme="minorEastAsia" w:hAnsiTheme="minorEastAsia"/>
          <w:sz w:val="32"/>
          <w:szCs w:val="32"/>
        </w:rPr>
        <w:t>待强化</w:t>
      </w:r>
      <w:r>
        <w:rPr>
          <w:rFonts w:hint="eastAsia" w:asciiTheme="minorEastAsia" w:hAnsiTheme="minorEastAsia"/>
          <w:sz w:val="32"/>
          <w:szCs w:val="32"/>
        </w:rPr>
        <w:t>。</w:t>
      </w:r>
    </w:p>
    <w:p>
      <w:pPr>
        <w:widowControl/>
        <w:spacing w:line="600" w:lineRule="exact"/>
        <w:ind/>
        <w:jc w:val="left"/>
        <w:rPr>
          <w:rFonts w:asciiTheme="minorEastAsia" w:hAnsiTheme="minorEastAsia"/>
          <w:sz w:val="32"/>
          <w:szCs w:val="32"/>
        </w:rPr>
      </w:pPr>
      <w:r>
        <w:rPr>
          <w:rFonts w:hint="eastAsia" w:asciiTheme="minorEastAsia" w:hAnsiTheme="minorEastAsia"/>
          <w:sz w:val="32"/>
          <w:szCs w:val="32"/>
        </w:rPr>
        <w:t>八、下一步改进措施</w:t>
      </w:r>
    </w:p>
    <w:p>
      <w:pPr>
        <w:widowControl/>
        <w:spacing w:line="600" w:lineRule="exact"/>
        <w:ind w:firstLine="640" w:firstLineChars="200"/>
        <w:jc w:val="left"/>
        <w:rPr>
          <w:rFonts w:asciiTheme="minorEastAsia" w:hAnsiTheme="minorEastAsia"/>
          <w:sz w:val="32"/>
          <w:szCs w:val="32"/>
        </w:rPr>
      </w:pPr>
      <w:r>
        <w:rPr>
          <w:rFonts w:hint="eastAsia" w:asciiTheme="minorEastAsia" w:hAnsiTheme="minorEastAsia"/>
          <w:sz w:val="32"/>
          <w:szCs w:val="32"/>
        </w:rPr>
        <w:t>针</w:t>
      </w:r>
      <w:r>
        <w:rPr>
          <w:rFonts w:asciiTheme="minorEastAsia" w:hAnsiTheme="minorEastAsia"/>
          <w:sz w:val="32"/>
          <w:szCs w:val="32"/>
        </w:rPr>
        <w:t>对</w:t>
      </w:r>
      <w:r>
        <w:rPr>
          <w:rFonts w:hint="eastAsia" w:asciiTheme="minorEastAsia" w:hAnsiTheme="minorEastAsia"/>
          <w:sz w:val="32"/>
          <w:szCs w:val="32"/>
        </w:rPr>
        <w:t>以</w:t>
      </w:r>
      <w:r>
        <w:rPr>
          <w:rFonts w:asciiTheme="minorEastAsia" w:hAnsiTheme="minorEastAsia"/>
          <w:sz w:val="32"/>
          <w:szCs w:val="32"/>
        </w:rPr>
        <w:t>上</w:t>
      </w:r>
      <w:r>
        <w:rPr>
          <w:rFonts w:hint="eastAsia" w:asciiTheme="minorEastAsia" w:hAnsiTheme="minorEastAsia"/>
          <w:sz w:val="32"/>
          <w:szCs w:val="32"/>
        </w:rPr>
        <w:t>存</w:t>
      </w:r>
      <w:r>
        <w:rPr>
          <w:rFonts w:asciiTheme="minorEastAsia" w:hAnsiTheme="minorEastAsia"/>
          <w:sz w:val="32"/>
          <w:szCs w:val="32"/>
        </w:rPr>
        <w:t>在问题</w:t>
      </w:r>
      <w:r>
        <w:rPr>
          <w:rFonts w:hint="eastAsia" w:asciiTheme="minorEastAsia" w:hAnsiTheme="minorEastAsia"/>
          <w:sz w:val="32"/>
          <w:szCs w:val="32"/>
        </w:rPr>
        <w:t>，应</w:t>
      </w:r>
      <w:r>
        <w:rPr>
          <w:rFonts w:asciiTheme="minorEastAsia" w:hAnsiTheme="minorEastAsia"/>
          <w:sz w:val="32"/>
          <w:szCs w:val="32"/>
        </w:rPr>
        <w:t>从以下</w:t>
      </w:r>
      <w:r>
        <w:rPr>
          <w:rFonts w:hint="eastAsia" w:asciiTheme="minorEastAsia" w:hAnsiTheme="minorEastAsia"/>
          <w:sz w:val="32"/>
          <w:szCs w:val="32"/>
        </w:rPr>
        <w:t>三</w:t>
      </w:r>
      <w:r>
        <w:rPr>
          <w:rFonts w:asciiTheme="minorEastAsia" w:hAnsiTheme="minorEastAsia"/>
          <w:sz w:val="32"/>
          <w:szCs w:val="32"/>
        </w:rPr>
        <w:t>个方面</w:t>
      </w:r>
      <w:r>
        <w:rPr>
          <w:rFonts w:hint="eastAsia" w:asciiTheme="minorEastAsia" w:hAnsiTheme="minorEastAsia"/>
          <w:sz w:val="32"/>
          <w:szCs w:val="32"/>
        </w:rPr>
        <w:t>努力：①认</w:t>
      </w:r>
      <w:r>
        <w:rPr>
          <w:rFonts w:asciiTheme="minorEastAsia" w:hAnsiTheme="minorEastAsia"/>
          <w:sz w:val="32"/>
          <w:szCs w:val="32"/>
        </w:rPr>
        <w:t>真的学</w:t>
      </w:r>
      <w:r>
        <w:rPr>
          <w:rFonts w:hint="eastAsia" w:asciiTheme="minorEastAsia" w:hAnsiTheme="minorEastAsia"/>
          <w:sz w:val="32"/>
          <w:szCs w:val="32"/>
        </w:rPr>
        <w:t>习相</w:t>
      </w:r>
      <w:r>
        <w:rPr>
          <w:rFonts w:asciiTheme="minorEastAsia" w:hAnsiTheme="minorEastAsia"/>
          <w:sz w:val="32"/>
          <w:szCs w:val="32"/>
        </w:rPr>
        <w:t>关的预算</w:t>
      </w:r>
      <w:r>
        <w:rPr>
          <w:rFonts w:hint="eastAsia" w:asciiTheme="minorEastAsia" w:hAnsiTheme="minorEastAsia"/>
          <w:sz w:val="32"/>
          <w:szCs w:val="32"/>
        </w:rPr>
        <w:t>编制</w:t>
      </w:r>
      <w:r>
        <w:rPr>
          <w:rFonts w:asciiTheme="minorEastAsia" w:hAnsiTheme="minorEastAsia"/>
          <w:sz w:val="32"/>
          <w:szCs w:val="32"/>
        </w:rPr>
        <w:t>政</w:t>
      </w:r>
      <w:r>
        <w:rPr>
          <w:rFonts w:hint="eastAsia" w:asciiTheme="minorEastAsia" w:hAnsiTheme="minorEastAsia"/>
          <w:sz w:val="32"/>
          <w:szCs w:val="32"/>
        </w:rPr>
        <w:t>策，科</w:t>
      </w:r>
      <w:r>
        <w:rPr>
          <w:rFonts w:asciiTheme="minorEastAsia" w:hAnsiTheme="minorEastAsia"/>
          <w:sz w:val="32"/>
          <w:szCs w:val="32"/>
        </w:rPr>
        <w:t>学细化预算编制工作</w:t>
      </w:r>
      <w:r>
        <w:rPr>
          <w:rFonts w:hint="eastAsia" w:asciiTheme="minorEastAsia" w:hAnsiTheme="minorEastAsia"/>
          <w:sz w:val="32"/>
          <w:szCs w:val="32"/>
        </w:rPr>
        <w:t>；②严格国</w:t>
      </w:r>
      <w:r>
        <w:rPr>
          <w:rFonts w:asciiTheme="minorEastAsia" w:hAnsiTheme="minorEastAsia"/>
          <w:sz w:val="32"/>
          <w:szCs w:val="32"/>
        </w:rPr>
        <w:t>库支付制度的执行</w:t>
      </w:r>
      <w:r>
        <w:rPr>
          <w:rFonts w:hint="eastAsia" w:asciiTheme="minorEastAsia" w:hAnsiTheme="minorEastAsia"/>
          <w:sz w:val="32"/>
          <w:szCs w:val="32"/>
        </w:rPr>
        <w:t>，在费用</w:t>
      </w:r>
      <w:r>
        <w:rPr>
          <w:rFonts w:asciiTheme="minorEastAsia" w:hAnsiTheme="minorEastAsia"/>
          <w:sz w:val="32"/>
          <w:szCs w:val="32"/>
        </w:rPr>
        <w:t>报账时严格按照规定</w:t>
      </w:r>
      <w:r>
        <w:rPr>
          <w:rFonts w:hint="eastAsia" w:asciiTheme="minorEastAsia" w:hAnsiTheme="minorEastAsia"/>
          <w:sz w:val="32"/>
          <w:szCs w:val="32"/>
        </w:rPr>
        <w:t>的项</w:t>
      </w:r>
      <w:r>
        <w:rPr>
          <w:rFonts w:asciiTheme="minorEastAsia" w:hAnsiTheme="minorEastAsia"/>
          <w:sz w:val="32"/>
          <w:szCs w:val="32"/>
        </w:rPr>
        <w:t>目和用途</w:t>
      </w:r>
      <w:r>
        <w:rPr>
          <w:rFonts w:hint="eastAsia" w:asciiTheme="minorEastAsia" w:hAnsiTheme="minorEastAsia"/>
          <w:sz w:val="32"/>
          <w:szCs w:val="32"/>
        </w:rPr>
        <w:t>入</w:t>
      </w:r>
      <w:r>
        <w:rPr>
          <w:rFonts w:asciiTheme="minorEastAsia" w:hAnsiTheme="minorEastAsia"/>
          <w:sz w:val="32"/>
          <w:szCs w:val="32"/>
        </w:rPr>
        <w:t>账报销</w:t>
      </w:r>
      <w:r>
        <w:rPr>
          <w:rFonts w:hint="eastAsia" w:asciiTheme="minorEastAsia" w:hAnsiTheme="minorEastAsia"/>
          <w:sz w:val="32"/>
          <w:szCs w:val="32"/>
        </w:rPr>
        <w:t>；③加</w:t>
      </w:r>
      <w:r>
        <w:rPr>
          <w:rFonts w:asciiTheme="minorEastAsia" w:hAnsiTheme="minorEastAsia"/>
          <w:sz w:val="32"/>
          <w:szCs w:val="32"/>
        </w:rPr>
        <w:t>强项目资金支出管理</w:t>
      </w:r>
      <w:r>
        <w:rPr>
          <w:rFonts w:hint="eastAsia" w:asciiTheme="minorEastAsia" w:hAnsiTheme="minorEastAsia"/>
          <w:sz w:val="32"/>
          <w:szCs w:val="32"/>
        </w:rPr>
        <w:t>，开</w:t>
      </w:r>
      <w:r>
        <w:rPr>
          <w:rFonts w:asciiTheme="minorEastAsia" w:hAnsiTheme="minorEastAsia"/>
          <w:sz w:val="32"/>
          <w:szCs w:val="32"/>
        </w:rPr>
        <w:t>展项目支出事前</w:t>
      </w:r>
      <w:r>
        <w:rPr>
          <w:rFonts w:hint="eastAsia" w:asciiTheme="minorEastAsia" w:hAnsiTheme="minorEastAsia"/>
          <w:sz w:val="32"/>
          <w:szCs w:val="32"/>
        </w:rPr>
        <w:t>、事</w:t>
      </w:r>
      <w:r>
        <w:rPr>
          <w:rFonts w:asciiTheme="minorEastAsia" w:hAnsiTheme="minorEastAsia"/>
          <w:sz w:val="32"/>
          <w:szCs w:val="32"/>
        </w:rPr>
        <w:t>中</w:t>
      </w:r>
      <w:r>
        <w:rPr>
          <w:rFonts w:hint="eastAsia" w:asciiTheme="minorEastAsia" w:hAnsiTheme="minorEastAsia"/>
          <w:sz w:val="32"/>
          <w:szCs w:val="32"/>
        </w:rPr>
        <w:t>、事</w:t>
      </w:r>
      <w:r>
        <w:rPr>
          <w:rFonts w:asciiTheme="minorEastAsia" w:hAnsiTheme="minorEastAsia"/>
          <w:sz w:val="32"/>
          <w:szCs w:val="32"/>
        </w:rPr>
        <w:t>后</w:t>
      </w:r>
      <w:r>
        <w:rPr>
          <w:rFonts w:hint="eastAsia" w:asciiTheme="minorEastAsia" w:hAnsiTheme="minorEastAsia"/>
          <w:sz w:val="32"/>
          <w:szCs w:val="32"/>
        </w:rPr>
        <w:t>跟</w:t>
      </w:r>
      <w:r>
        <w:rPr>
          <w:rFonts w:asciiTheme="minorEastAsia" w:hAnsiTheme="minorEastAsia"/>
          <w:sz w:val="32"/>
          <w:szCs w:val="32"/>
        </w:rPr>
        <w:t>踪</w:t>
      </w:r>
      <w:r>
        <w:rPr>
          <w:rFonts w:hint="eastAsia" w:asciiTheme="minorEastAsia" w:hAnsiTheme="minorEastAsia"/>
          <w:sz w:val="32"/>
          <w:szCs w:val="32"/>
        </w:rPr>
        <w:t>。</w:t>
      </w:r>
    </w:p>
    <w:p>
      <w:pPr>
        <w:widowControl/>
        <w:spacing w:line="600" w:lineRule="exact"/>
        <w:ind w:firstLine="480" w:firstLineChars="150"/>
        <w:jc w:val="left"/>
        <w:rPr>
          <w:rFonts w:asciiTheme="minorEastAsia" w:hAnsiTheme="minorEastAsia"/>
          <w:sz w:val="32"/>
          <w:szCs w:val="32"/>
        </w:rPr>
      </w:pPr>
      <w:bookmarkStart w:id="b6y2dg" w:name="_GoBack"/>
      <w:bookmarkEnd w:id="b6y2dg"/>
      <w:r>
        <w:rPr>
          <w:rFonts w:hint="eastAsia" w:asciiTheme="minorEastAsia" w:hAnsiTheme="minorEastAsia"/>
          <w:sz w:val="32"/>
          <w:szCs w:val="32"/>
        </w:rPr>
        <w:t>九、部门整体支出绩效自评结果拟应用和公开情况</w:t>
      </w:r>
    </w:p>
    <w:p>
      <w:pPr>
        <w:widowControl/>
        <w:spacing w:line="600" w:lineRule="exact"/>
        <w:ind/>
        <w:jc w:val="left"/>
        <w:rPr>
          <w:rFonts w:asciiTheme="minorEastAsia" w:hAnsiTheme="minorEastAsia"/>
          <w:sz w:val="32"/>
          <w:szCs w:val="32"/>
        </w:rPr>
      </w:pPr>
      <w:r>
        <w:rPr>
          <w:rFonts w:hint="eastAsia" w:asciiTheme="minorEastAsia" w:hAnsiTheme="minorEastAsia"/>
          <w:sz w:val="32"/>
          <w:szCs w:val="32"/>
        </w:rPr>
        <w:t>绩</w:t>
      </w:r>
      <w:r>
        <w:rPr>
          <w:rFonts w:asciiTheme="minorEastAsia" w:hAnsiTheme="minorEastAsia"/>
          <w:sz w:val="32"/>
          <w:szCs w:val="32"/>
        </w:rPr>
        <w:t>效自评结果良</w:t>
      </w:r>
      <w:r>
        <w:rPr>
          <w:rFonts w:hint="eastAsia" w:asciiTheme="minorEastAsia" w:hAnsiTheme="minorEastAsia"/>
          <w:sz w:val="32"/>
          <w:szCs w:val="32"/>
        </w:rPr>
        <w:t>，按规定</w:t>
      </w:r>
      <w:r>
        <w:rPr>
          <w:rFonts w:asciiTheme="minorEastAsia" w:hAnsiTheme="minorEastAsia"/>
          <w:sz w:val="32"/>
          <w:szCs w:val="32"/>
        </w:rPr>
        <w:t>公</w:t>
      </w:r>
      <w:r>
        <w:rPr>
          <w:rFonts w:hint="eastAsia" w:asciiTheme="minorEastAsia" w:hAnsiTheme="minorEastAsia"/>
          <w:sz w:val="32"/>
          <w:szCs w:val="32"/>
        </w:rPr>
        <w:t>开。</w:t>
      </w:r>
    </w:p>
    <w:p>
      <w:pPr>
        <w:widowControl/>
        <w:spacing w:line="600" w:lineRule="exact"/>
        <w:ind/>
        <w:jc w:val="left"/>
        <w:rPr>
          <w:rFonts w:ascii="仿宋" w:hAnsi="仿宋" w:eastAsia="仿宋"/>
          <w:sz w:val="32"/>
          <w:szCs w:val="32"/>
        </w:rPr>
      </w:pPr>
    </w:p>
    <w:p>
      <w:pPr>
        <w:widowControl/>
        <w:spacing w:line="600" w:lineRule="exact"/>
        <w:ind/>
        <w:jc w:val="left"/>
        <w:rPr>
          <w:rFonts w:ascii="仿宋" w:hAnsi="仿宋" w:eastAsia="仿宋"/>
          <w:sz w:val="32"/>
          <w:szCs w:val="32"/>
        </w:rPr>
      </w:pPr>
    </w:p>
    <w:p>
      <w:pPr>
        <w:widowControl/>
        <w:spacing w:after="156" w:afterLines="50" w:line="600" w:lineRule="exact"/>
        <w:ind/>
        <w:jc w:val="left"/>
        <w:rPr>
          <w:rFonts w:eastAsia="黑体"/>
          <w:sz w:val="32"/>
          <w:szCs w:val="32"/>
        </w:rPr>
      </w:pPr>
      <w:r>
        <w:rPr>
          <w:rFonts w:hint="eastAsia" w:eastAsia="黑体"/>
          <w:sz w:val="32"/>
          <w:szCs w:val="32"/>
        </w:rPr>
        <w:t>附件</w:t>
      </w:r>
      <w:r>
        <w:rPr>
          <w:rFonts w:eastAsia="黑体"/>
          <w:sz w:val="32"/>
          <w:szCs w:val="32"/>
        </w:rPr>
        <w:t>2</w:t>
      </w:r>
    </w:p>
    <w:p>
      <w:pPr>
        <w:spacing w:after="156" w:afterLines="50" w:line="600" w:lineRule="exact"/>
        <w:ind/>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W w:w="0" w:type="auto"/>
        <w:jc w:val="center"/>
        <w:tblLayout w:type="fixed"/>
        <w:tblLook w:firstRow="true" w:lastRow="false" w:firstColumn="true" w:lastColumn="false" w:noHBand="false" w:noVBand="false" w:val="00A0"/>
      </w:tblPr>
      <w:tblGrid>
        <w:gridCol w:w="3354"/>
        <w:gridCol w:w="1189"/>
        <w:gridCol w:w="849"/>
        <w:gridCol w:w="1129"/>
        <w:gridCol w:w="1111"/>
        <w:gridCol w:w="969"/>
        <w:gridCol w:w="1093"/>
      </w:tblGrid>
      <w:tr>
        <w:trPr>
          <w:wBefore/>
          <w:trHeight w:val="397"/>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2062"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b/>
                <w:bCs/>
                <w:kern w:val="0"/>
                <w:szCs w:val="21"/>
              </w:rPr>
            </w:pPr>
            <w:r>
              <w:rPr>
                <w:rFonts w:hint="eastAsia" w:eastAsia="仿宋_GB2312"/>
                <w:b/>
                <w:bCs/>
                <w:kern w:val="0"/>
                <w:szCs w:val="21"/>
              </w:rPr>
              <w:t>控制率</w:t>
            </w:r>
          </w:p>
        </w:tc>
      </w:tr>
      <w:tr>
        <w:trPr>
          <w:wBefore/>
          <w:trHeight w:val="209"/>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534　</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342　</w:t>
            </w:r>
          </w:p>
        </w:tc>
        <w:tc>
          <w:tcPr>
            <w:tcW w:w="2062" w:type="dxa"/>
            <w:gridSpan w:val="2"/>
            <w:tcBorders>
              <w:top w:val="single" w:color="auto" w:sz="4" w:space="0"/>
              <w:left w:val="nil"/>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64.05%</w:t>
            </w:r>
          </w:p>
        </w:tc>
      </w:tr>
      <w:tr>
        <w:trPr>
          <w:wBefore/>
          <w:trHeight w:val="313"/>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rPr>
          <w:wBefore/>
          <w:trHeight w:val="133"/>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8.67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8</w:t>
            </w:r>
            <w:r>
              <w:rPr>
                <w:rFonts w:eastAsia="仿宋_GB2312"/>
                <w:kern w:val="0"/>
                <w:szCs w:val="21"/>
              </w:rPr>
              <w:t>.00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8</w:t>
            </w:r>
            <w:r>
              <w:rPr>
                <w:rFonts w:eastAsia="仿宋_GB2312"/>
                <w:kern w:val="0"/>
                <w:szCs w:val="21"/>
              </w:rPr>
              <w:t>.00</w:t>
            </w:r>
          </w:p>
        </w:tc>
      </w:tr>
      <w:tr>
        <w:trPr>
          <w:wBefore/>
          <w:trHeight w:val="23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7.00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7.00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7.00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r>
      <w:tr>
        <w:trPr>
          <w:wBefore/>
          <w:trHeight w:val="323"/>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7.00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7</w:t>
            </w:r>
            <w:r>
              <w:rPr>
                <w:rFonts w:eastAsia="仿宋_GB2312"/>
                <w:kern w:val="0"/>
                <w:szCs w:val="21"/>
              </w:rPr>
              <w:t>.00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7</w:t>
            </w:r>
            <w:r>
              <w:rPr>
                <w:rFonts w:eastAsia="仿宋_GB2312"/>
                <w:kern w:val="0"/>
                <w:szCs w:val="21"/>
              </w:rPr>
              <w:t>.00</w:t>
            </w:r>
          </w:p>
        </w:tc>
      </w:tr>
      <w:tr>
        <w:trPr>
          <w:wBefore/>
          <w:trHeight w:val="195"/>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r>
      <w:tr>
        <w:trPr>
          <w:wBefore/>
          <w:trHeight w:val="15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1.67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w:t>
            </w:r>
            <w:r>
              <w:rPr>
                <w:rFonts w:eastAsia="仿宋_GB2312"/>
                <w:kern w:val="0"/>
                <w:szCs w:val="21"/>
              </w:rPr>
              <w:t>.00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w:t>
            </w:r>
            <w:r>
              <w:rPr>
                <w:rFonts w:eastAsia="仿宋_GB2312"/>
                <w:kern w:val="0"/>
                <w:szCs w:val="21"/>
              </w:rPr>
              <w:t>.00</w:t>
            </w:r>
          </w:p>
        </w:tc>
      </w:tr>
      <w:tr>
        <w:trPr>
          <w:wBefore/>
          <w:trHeight w:val="319"/>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629.18</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506.28</w:t>
            </w:r>
          </w:p>
        </w:tc>
      </w:tr>
      <w:tr>
        <w:trPr>
          <w:wBefore/>
          <w:trHeight w:val="211"/>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414.18</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414.18</w:t>
            </w:r>
          </w:p>
        </w:tc>
      </w:tr>
      <w:tr>
        <w:trPr>
          <w:wBefore/>
          <w:trHeight w:val="340" w:hRule="exact"/>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设备</w:t>
            </w:r>
            <w:r>
              <w:rPr>
                <w:rFonts w:eastAsia="仿宋_GB2312"/>
                <w:kern w:val="0"/>
                <w:szCs w:val="21"/>
              </w:rPr>
              <w:t>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140.18</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140.18</w:t>
            </w:r>
          </w:p>
          <w:p>
            <w:pPr>
              <w:widowControl/>
              <w:spacing w:line="300" w:lineRule="exact"/>
              <w:ind/>
              <w:jc w:val="center"/>
              <w:rPr>
                <w:rFonts w:eastAsia="仿宋_GB2312"/>
                <w:kern w:val="0"/>
                <w:szCs w:val="21"/>
              </w:rPr>
            </w:pPr>
            <w:r>
              <w:rPr>
                <w:rFonts w:hint="eastAsia" w:eastAsia="仿宋_GB2312"/>
                <w:kern w:val="0"/>
                <w:szCs w:val="21"/>
              </w:rPr>
              <w:t>140.18</w:t>
            </w:r>
          </w:p>
          <w:p>
            <w:pPr>
              <w:widowControl/>
              <w:spacing w:line="300" w:lineRule="exact"/>
              <w:ind/>
              <w:jc w:val="center"/>
              <w:rPr>
                <w:rFonts w:eastAsia="仿宋_GB2312"/>
                <w:kern w:val="0"/>
                <w:szCs w:val="21"/>
              </w:rPr>
            </w:pP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地</w:t>
            </w:r>
            <w:r>
              <w:rPr>
                <w:rFonts w:eastAsia="仿宋_GB2312"/>
                <w:kern w:val="0"/>
                <w:szCs w:val="21"/>
              </w:rPr>
              <w:t>勘改革发</w:t>
            </w:r>
            <w:r>
              <w:rPr>
                <w:rFonts w:hint="eastAsia" w:eastAsia="仿宋_GB2312"/>
                <w:kern w:val="0"/>
                <w:szCs w:val="21"/>
              </w:rPr>
              <w:t>展资</w:t>
            </w:r>
            <w:r>
              <w:rPr>
                <w:rFonts w:eastAsia="仿宋_GB2312"/>
                <w:kern w:val="0"/>
                <w:szCs w:val="21"/>
              </w:rPr>
              <w:t>金</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250.00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250.00</w:t>
            </w:r>
          </w:p>
        </w:tc>
      </w:tr>
      <w:tr>
        <w:trPr>
          <w:wBefore/>
          <w:trHeight w:val="191"/>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基</w:t>
            </w:r>
            <w:r>
              <w:rPr>
                <w:rFonts w:eastAsia="仿宋_GB2312"/>
                <w:kern w:val="0"/>
                <w:szCs w:val="21"/>
              </w:rPr>
              <w:t>地零</w:t>
            </w:r>
            <w:r>
              <w:rPr>
                <w:rFonts w:hint="eastAsia" w:eastAsia="仿宋_GB2312"/>
                <w:kern w:val="0"/>
                <w:szCs w:val="21"/>
              </w:rPr>
              <w:t>星</w:t>
            </w:r>
            <w:r>
              <w:rPr>
                <w:rFonts w:eastAsia="仿宋_GB2312"/>
                <w:kern w:val="0"/>
                <w:szCs w:val="21"/>
              </w:rPr>
              <w:t>改造</w:t>
            </w:r>
            <w:r>
              <w:rPr>
                <w:rFonts w:hint="eastAsia" w:eastAsia="仿宋_GB2312"/>
                <w:kern w:val="0"/>
                <w:szCs w:val="21"/>
              </w:rPr>
              <w:t>、维</w:t>
            </w:r>
            <w:r>
              <w:rPr>
                <w:rFonts w:eastAsia="仿宋_GB2312"/>
                <w:kern w:val="0"/>
                <w:szCs w:val="21"/>
              </w:rPr>
              <w:t>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24.00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24.00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215.00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92.10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矿产资源国情调查;涟源市调查</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45.00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45.00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2020年第一批中央自然灾害防治体系建设补助资金</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120.00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47.10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基</w:t>
            </w:r>
            <w:r>
              <w:rPr>
                <w:rFonts w:eastAsia="仿宋_GB2312"/>
                <w:kern w:val="0"/>
                <w:szCs w:val="21"/>
              </w:rPr>
              <w:t>地改造</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50.00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0.00</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203.10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132.15</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132.15</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144.06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81.15</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77.64</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46.04</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39.00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42.43</w:t>
            </w:r>
          </w:p>
        </w:tc>
      </w:tr>
      <w:tr>
        <w:trPr>
          <w:wBefore/>
          <w:cantSplit/>
          <w:trHeight w:val="397"/>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13.00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12.00</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12.08</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140.18</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140.18</w:t>
            </w:r>
          </w:p>
        </w:tc>
      </w:tr>
      <w:tr>
        <w:trPr>
          <w:wBefore/>
          <w:trHeight w:val="397"/>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3672.47</w:t>
            </w:r>
          </w:p>
        </w:tc>
        <w:tc>
          <w:tcPr>
            <w:tcW w:w="2062" w:type="dxa"/>
            <w:gridSpan w:val="2"/>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4893.87</w:t>
            </w:r>
          </w:p>
        </w:tc>
      </w:tr>
      <w:tr>
        <w:trPr>
          <w:wBefore/>
          <w:trHeight w:val="809"/>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实际投资（万元）</w:t>
            </w:r>
          </w:p>
        </w:tc>
        <w:tc>
          <w:tcPr>
            <w:tcW w:w="1093"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bCs/>
                <w:kern w:val="0"/>
                <w:szCs w:val="21"/>
              </w:rPr>
            </w:pPr>
            <w:r>
              <w:rPr>
                <w:rFonts w:hint="eastAsia" w:eastAsia="仿宋_GB2312"/>
                <w:bCs/>
                <w:kern w:val="0"/>
                <w:szCs w:val="21"/>
              </w:rPr>
              <w:t>投资概算控制率</w:t>
            </w:r>
          </w:p>
        </w:tc>
      </w:tr>
      <w:tr>
        <w:trPr>
          <w:wBefore/>
          <w:trHeight w:val="183"/>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　</w:t>
            </w:r>
          </w:p>
        </w:tc>
        <w:tc>
          <w:tcPr>
            <w:tcW w:w="1093" w:type="dxa"/>
            <w:tcBorders>
              <w:top w:val="nil"/>
              <w:left w:val="nil"/>
              <w:bottom w:val="single" w:color="auto" w:sz="4" w:space="0"/>
              <w:right w:val="single" w:color="auto" w:sz="4" w:space="0"/>
            </w:tcBorders>
            <w:vAlign w:val="center"/>
          </w:tcPr>
          <w:p>
            <w:pPr>
              <w:widowControl/>
              <w:spacing w:line="300" w:lineRule="exact"/>
              <w:ind/>
              <w:jc w:val="left"/>
              <w:rPr>
                <w:rFonts w:eastAsia="仿宋_GB2312"/>
                <w:kern w:val="0"/>
                <w:szCs w:val="21"/>
              </w:rPr>
            </w:pPr>
            <w:r>
              <w:rPr>
                <w:rFonts w:hint="eastAsia" w:eastAsia="仿宋_GB2312"/>
                <w:kern w:val="0"/>
                <w:szCs w:val="21"/>
              </w:rPr>
              <w:t>　</w:t>
            </w:r>
          </w:p>
        </w:tc>
      </w:tr>
      <w:tr>
        <w:trPr>
          <w:wBefore/>
          <w:trHeight w:val="553"/>
          <w:jc w:val="center"/>
        </w:trPr>
        <w:tc>
          <w:tcPr>
            <w:tcW w:w="3354" w:type="dxa"/>
            <w:tcBorders>
              <w:top w:val="nil"/>
              <w:left w:val="single" w:color="auto" w:sz="4" w:space="0"/>
              <w:bottom w:val="single" w:color="auto" w:sz="4" w:space="0"/>
              <w:right w:val="single" w:color="auto"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厉行节约保障措施</w:t>
            </w:r>
          </w:p>
        </w:tc>
        <w:tc>
          <w:tcPr>
            <w:tcW w:w="6340" w:type="dxa"/>
            <w:gridSpan w:val="6"/>
            <w:tcBorders>
              <w:top w:val="single" w:color="auto" w:sz="4" w:space="0"/>
              <w:left w:val="nil"/>
              <w:bottom w:val="single" w:color="auto" w:sz="4" w:space="0"/>
              <w:right w:val="single" w:color="000000" w:sz="4" w:space="0"/>
            </w:tcBorders>
            <w:vAlign w:val="center"/>
          </w:tcPr>
          <w:p>
            <w:pPr>
              <w:widowControl/>
              <w:spacing w:line="300" w:lineRule="exact"/>
              <w:ind/>
              <w:jc w:val="center"/>
              <w:rPr>
                <w:rFonts w:eastAsia="仿宋_GB2312"/>
                <w:kern w:val="0"/>
                <w:szCs w:val="21"/>
              </w:rPr>
            </w:pPr>
            <w:r>
              <w:rPr>
                <w:rFonts w:hint="eastAsia" w:eastAsia="仿宋_GB2312"/>
                <w:kern w:val="0"/>
                <w:szCs w:val="21"/>
              </w:rPr>
              <w:t>加</w:t>
            </w:r>
            <w:r>
              <w:rPr>
                <w:rFonts w:eastAsia="仿宋_GB2312"/>
                <w:kern w:val="0"/>
                <w:szCs w:val="21"/>
              </w:rPr>
              <w:t>强财务管理与项目管理</w:t>
            </w:r>
            <w:r>
              <w:rPr>
                <w:rFonts w:hint="eastAsia" w:eastAsia="仿宋_GB2312"/>
                <w:kern w:val="0"/>
                <w:szCs w:val="21"/>
              </w:rPr>
              <w:t>，规范</w:t>
            </w:r>
            <w:r>
              <w:rPr>
                <w:rFonts w:eastAsia="仿宋_GB2312"/>
                <w:kern w:val="0"/>
                <w:szCs w:val="21"/>
              </w:rPr>
              <w:t>合同管理</w:t>
            </w:r>
            <w:r>
              <w:rPr>
                <w:rFonts w:hint="eastAsia" w:eastAsia="仿宋_GB2312"/>
                <w:kern w:val="0"/>
                <w:szCs w:val="21"/>
              </w:rPr>
              <w:t>，对</w:t>
            </w:r>
            <w:r>
              <w:rPr>
                <w:rFonts w:eastAsia="仿宋_GB2312"/>
                <w:kern w:val="0"/>
                <w:szCs w:val="21"/>
              </w:rPr>
              <w:t>项目成本实施</w:t>
            </w:r>
            <w:r>
              <w:rPr>
                <w:rFonts w:hint="eastAsia" w:eastAsia="仿宋_GB2312"/>
                <w:kern w:val="0"/>
                <w:szCs w:val="21"/>
              </w:rPr>
              <w:t>预</w:t>
            </w:r>
            <w:r>
              <w:rPr>
                <w:rFonts w:eastAsia="仿宋_GB2312"/>
                <w:kern w:val="0"/>
                <w:szCs w:val="21"/>
              </w:rPr>
              <w:t>算</w:t>
            </w:r>
            <w:r>
              <w:rPr>
                <w:rFonts w:hint="eastAsia" w:eastAsia="仿宋_GB2312"/>
                <w:kern w:val="0"/>
                <w:szCs w:val="21"/>
              </w:rPr>
              <w:t>管理，这</w:t>
            </w:r>
            <w:r>
              <w:rPr>
                <w:rFonts w:eastAsia="仿宋_GB2312"/>
                <w:kern w:val="0"/>
                <w:szCs w:val="21"/>
              </w:rPr>
              <w:t>些措施</w:t>
            </w:r>
            <w:r>
              <w:rPr>
                <w:rFonts w:hint="eastAsia" w:eastAsia="仿宋_GB2312"/>
                <w:kern w:val="0"/>
                <w:szCs w:val="21"/>
              </w:rPr>
              <w:t>使队</w:t>
            </w:r>
            <w:r>
              <w:rPr>
                <w:rFonts w:eastAsia="仿宋_GB2312"/>
                <w:kern w:val="0"/>
                <w:szCs w:val="21"/>
              </w:rPr>
              <w:t>经济效益提到了提升</w:t>
            </w:r>
            <w:r>
              <w:rPr>
                <w:rFonts w:hint="eastAsia" w:eastAsia="仿宋_GB2312"/>
                <w:kern w:val="0"/>
                <w:szCs w:val="21"/>
              </w:rPr>
              <w:t>。　</w:t>
            </w:r>
          </w:p>
        </w:tc>
      </w:tr>
    </w:tbl>
    <w:p>
      <w:pPr>
        <w:widowControl/>
        <w:spacing w:line="360" w:lineRule="exact"/>
        <w:ind/>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spacing w:after="156" w:afterLines="50" w:line="400" w:lineRule="exact"/>
        <w:ind/>
        <w:jc w:val="left"/>
        <w:rPr>
          <w:rFonts w:eastAsia="黑体"/>
          <w:sz w:val="32"/>
          <w:szCs w:val="32"/>
        </w:rPr>
      </w:pPr>
      <w:r>
        <w:rPr>
          <w:rFonts w:hint="eastAsia" w:eastAsia="仿宋_GB2312"/>
          <w:kern w:val="0"/>
          <w:sz w:val="22"/>
        </w:rPr>
        <w:t>填表人：</w:t>
      </w:r>
      <w:r>
        <w:rPr>
          <w:rFonts w:eastAsia="仿宋_GB2312"/>
          <w:kern w:val="0"/>
          <w:sz w:val="22"/>
        </w:rPr>
        <w:t xml:space="preserve">     </w:t>
      </w:r>
      <w:r>
        <w:rPr>
          <w:rFonts w:hint="eastAsia" w:eastAsia="仿宋_GB2312"/>
          <w:kern w:val="0"/>
          <w:sz w:val="22"/>
        </w:rPr>
        <w:t>填报日期：</w:t>
      </w:r>
      <w:r>
        <w:rPr>
          <w:rFonts w:eastAsia="仿宋_GB2312"/>
          <w:kern w:val="0"/>
          <w:sz w:val="22"/>
        </w:rPr>
        <w:t xml:space="preserve">      </w:t>
      </w:r>
      <w:r>
        <w:rPr>
          <w:rFonts w:hint="eastAsia" w:eastAsia="仿宋_GB2312"/>
          <w:kern w:val="0"/>
          <w:sz w:val="22"/>
        </w:rPr>
        <w:t>联系电话：</w:t>
      </w:r>
      <w:r>
        <w:rPr>
          <w:rFonts w:eastAsia="仿宋_GB2312"/>
          <w:kern w:val="0"/>
          <w:sz w:val="22"/>
        </w:rPr>
        <w:t xml:space="preserve">     </w:t>
      </w:r>
      <w:r>
        <w:rPr>
          <w:rFonts w:hint="eastAsia" w:eastAsia="仿宋_GB2312"/>
          <w:kern w:val="0"/>
          <w:sz w:val="22"/>
        </w:rPr>
        <w:t>单位负责人签字：</w:t>
      </w:r>
      <w:r>
        <w:rPr>
          <w:rFonts w:eastAsia="仿宋_GB2312"/>
          <w:kern w:val="0"/>
          <w:sz w:val="22"/>
        </w:rPr>
        <w:br w:type="page"/>
      </w:r>
      <w:r>
        <w:rPr>
          <w:rFonts w:hint="eastAsia" w:eastAsia="黑体"/>
          <w:sz w:val="32"/>
          <w:szCs w:val="32"/>
        </w:rPr>
        <w:t>附件</w:t>
      </w:r>
      <w:r>
        <w:rPr>
          <w:rFonts w:eastAsia="黑体"/>
          <w:sz w:val="32"/>
          <w:szCs w:val="32"/>
        </w:rPr>
        <w:t>3</w:t>
      </w:r>
    </w:p>
    <w:p>
      <w:pPr>
        <w:widowControl/>
        <w:spacing w:after="156" w:afterLines="50" w:line="400" w:lineRule="exact"/>
        <w:ind/>
        <w:jc w:val="center"/>
        <w:rPr>
          <w:rFonts w:eastAsia="方正小标宋_GBK"/>
          <w:color w:val="000000"/>
          <w:kern w:val="0"/>
          <w:sz w:val="36"/>
          <w:szCs w:val="36"/>
        </w:rPr>
      </w:pPr>
      <w:r>
        <w:rPr>
          <w:rFonts w:eastAsia="方正小标宋_GBK"/>
          <w:color w:val="000000"/>
          <w:kern w:val="0"/>
          <w:sz w:val="36"/>
          <w:szCs w:val="36"/>
        </w:rPr>
        <w:t>2020</w:t>
      </w:r>
      <w:r>
        <w:rPr>
          <w:rFonts w:hint="eastAsia" w:eastAsia="方正小标宋_GBK"/>
          <w:color w:val="000000"/>
          <w:kern w:val="0"/>
          <w:sz w:val="36"/>
          <w:szCs w:val="36"/>
        </w:rPr>
        <w:t>年度单位整体支出绩效自评表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false" w:val="00A0"/>
      </w:tblPr>
      <w:tblGrid>
        <w:gridCol w:w="1080"/>
        <w:gridCol w:w="952"/>
        <w:gridCol w:w="1081"/>
        <w:gridCol w:w="1256"/>
        <w:gridCol w:w="95"/>
        <w:gridCol w:w="1200"/>
        <w:gridCol w:w="1276"/>
        <w:gridCol w:w="709"/>
        <w:gridCol w:w="992"/>
        <w:gridCol w:w="1352"/>
      </w:tblGrid>
      <w:tr>
        <w:trPr>
          <w:wBefore/>
          <w:trHeight w:val="721"/>
          <w:jc w:val="center"/>
        </w:trPr>
        <w:tc>
          <w:tcPr>
            <w:tcW w:w="108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湖</w:t>
            </w:r>
            <w:r>
              <w:rPr>
                <w:rFonts w:eastAsia="仿宋_GB2312"/>
                <w:color w:val="000000"/>
                <w:kern w:val="0"/>
                <w:szCs w:val="21"/>
              </w:rPr>
              <w:t>南省煤田地质</w:t>
            </w:r>
            <w:r>
              <w:rPr>
                <w:rFonts w:hint="eastAsia" w:eastAsia="仿宋_GB2312"/>
                <w:color w:val="000000"/>
                <w:kern w:val="0"/>
                <w:szCs w:val="21"/>
              </w:rPr>
              <w:t>局第</w:t>
            </w:r>
            <w:r>
              <w:rPr>
                <w:rFonts w:eastAsia="仿宋_GB2312"/>
                <w:color w:val="000000"/>
                <w:kern w:val="0"/>
                <w:szCs w:val="21"/>
              </w:rPr>
              <w:t>二</w:t>
            </w:r>
            <w:r>
              <w:rPr>
                <w:rFonts w:hint="eastAsia" w:eastAsia="仿宋_GB2312"/>
                <w:color w:val="000000"/>
                <w:kern w:val="0"/>
                <w:szCs w:val="21"/>
              </w:rPr>
              <w:t>勘</w:t>
            </w:r>
            <w:r>
              <w:rPr>
                <w:rFonts w:eastAsia="仿宋_GB2312"/>
                <w:color w:val="000000"/>
                <w:kern w:val="0"/>
                <w:szCs w:val="21"/>
              </w:rPr>
              <w:t>探队</w:t>
            </w:r>
            <w:r>
              <w:rPr>
                <w:rFonts w:hint="eastAsia" w:eastAsia="仿宋_GB2312"/>
                <w:color w:val="000000"/>
                <w:kern w:val="0"/>
                <w:szCs w:val="21"/>
              </w:rPr>
              <w:t>　</w:t>
            </w:r>
          </w:p>
        </w:tc>
      </w:tr>
      <w:tr>
        <w:trPr>
          <w:wBefore/>
          <w:trHeight/>
          <w:jc w:val="center"/>
        </w:trPr>
        <w:tc>
          <w:tcPr>
            <w:tcW w:w="1080"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年度预</w:t>
            </w:r>
          </w:p>
          <w:p>
            <w:pPr>
              <w:widowControl/>
              <w:spacing w:line="300" w:lineRule="exact"/>
              <w:ind/>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033" w:type="dxa"/>
            <w:gridSpan w:val="2"/>
            <w:vAlign w:val="center"/>
          </w:tcPr>
          <w:p>
            <w:pPr>
              <w:spacing w:line="300" w:lineRule="exact"/>
              <w:ind/>
              <w:jc w:val="center"/>
              <w:rPr>
                <w:rFonts w:eastAsia="仿宋_GB2312"/>
                <w:szCs w:val="21"/>
              </w:rPr>
            </w:pPr>
            <w:r>
              <w:rPr>
                <w:rFonts w:hint="eastAsia" w:eastAsia="仿宋_GB2312"/>
                <w:szCs w:val="21"/>
              </w:rPr>
              <w:t>1195.46万元</w:t>
            </w:r>
          </w:p>
        </w:tc>
        <w:tc>
          <w:tcPr>
            <w:tcW w:w="1256" w:type="dxa"/>
            <w:vAlign w:val="center"/>
          </w:tcPr>
          <w:p>
            <w:pPr>
              <w:spacing w:line="300" w:lineRule="exact"/>
              <w:ind/>
              <w:jc w:val="center"/>
              <w:rPr>
                <w:rFonts w:eastAsia="仿宋_GB2312"/>
                <w:szCs w:val="21"/>
              </w:rPr>
            </w:pPr>
            <w:r>
              <w:rPr>
                <w:rFonts w:hint="eastAsia" w:eastAsia="仿宋_GB2312"/>
                <w:szCs w:val="21"/>
              </w:rPr>
              <w:t>年初</w:t>
            </w:r>
          </w:p>
          <w:p>
            <w:pPr>
              <w:spacing w:line="300" w:lineRule="exact"/>
              <w:ind/>
              <w:jc w:val="center"/>
              <w:rPr>
                <w:rFonts w:eastAsia="仿宋_GB2312"/>
                <w:szCs w:val="21"/>
              </w:rPr>
            </w:pPr>
            <w:r>
              <w:rPr>
                <w:rFonts w:hint="eastAsia" w:eastAsia="仿宋_GB2312"/>
                <w:szCs w:val="21"/>
              </w:rPr>
              <w:t>预算数</w:t>
            </w:r>
          </w:p>
        </w:tc>
        <w:tc>
          <w:tcPr>
            <w:tcW w:w="1295" w:type="dxa"/>
            <w:gridSpan w:val="2"/>
            <w:vAlign w:val="center"/>
          </w:tcPr>
          <w:p>
            <w:pPr>
              <w:spacing w:line="300" w:lineRule="exact"/>
              <w:ind/>
              <w:jc w:val="center"/>
              <w:rPr>
                <w:rFonts w:eastAsia="仿宋_GB2312"/>
                <w:szCs w:val="21"/>
              </w:rPr>
            </w:pPr>
            <w:r>
              <w:rPr>
                <w:rFonts w:hint="eastAsia" w:eastAsia="仿宋_GB2312"/>
                <w:szCs w:val="21"/>
              </w:rPr>
              <w:t>全年预算数</w:t>
            </w:r>
          </w:p>
        </w:tc>
        <w:tc>
          <w:tcPr>
            <w:tcW w:w="1276" w:type="dxa"/>
            <w:vAlign w:val="center"/>
          </w:tcPr>
          <w:p>
            <w:pPr>
              <w:spacing w:line="300" w:lineRule="exact"/>
              <w:ind/>
              <w:jc w:val="center"/>
              <w:rPr>
                <w:rFonts w:eastAsia="仿宋_GB2312"/>
                <w:szCs w:val="21"/>
              </w:rPr>
            </w:pPr>
            <w:r>
              <w:rPr>
                <w:rFonts w:hint="eastAsia" w:eastAsia="仿宋_GB2312"/>
                <w:szCs w:val="21"/>
              </w:rPr>
              <w:t>全年执行数</w:t>
            </w:r>
          </w:p>
        </w:tc>
        <w:tc>
          <w:tcPr>
            <w:tcW w:w="709" w:type="dxa"/>
            <w:vAlign w:val="center"/>
          </w:tcPr>
          <w:p>
            <w:pPr>
              <w:spacing w:line="300" w:lineRule="exact"/>
              <w:ind/>
              <w:jc w:val="center"/>
              <w:rPr>
                <w:rFonts w:eastAsia="仿宋_GB2312"/>
                <w:szCs w:val="21"/>
              </w:rPr>
            </w:pPr>
            <w:r>
              <w:rPr>
                <w:rFonts w:hint="eastAsia" w:eastAsia="仿宋_GB2312"/>
                <w:szCs w:val="21"/>
              </w:rPr>
              <w:t>分值</w:t>
            </w:r>
          </w:p>
        </w:tc>
        <w:tc>
          <w:tcPr>
            <w:tcW w:w="992" w:type="dxa"/>
            <w:vAlign w:val="center"/>
          </w:tcPr>
          <w:p>
            <w:pPr>
              <w:spacing w:line="300" w:lineRule="exact"/>
              <w:ind/>
              <w:jc w:val="center"/>
              <w:rPr>
                <w:rFonts w:eastAsia="仿宋_GB2312"/>
                <w:szCs w:val="21"/>
              </w:rPr>
            </w:pPr>
            <w:r>
              <w:rPr>
                <w:rFonts w:hint="eastAsia" w:eastAsia="仿宋_GB2312"/>
                <w:szCs w:val="21"/>
              </w:rPr>
              <w:t>执行率</w:t>
            </w:r>
          </w:p>
        </w:tc>
        <w:tc>
          <w:tcPr>
            <w:tcW w:w="1352" w:type="dxa"/>
            <w:vAlign w:val="center"/>
          </w:tcPr>
          <w:p>
            <w:pPr>
              <w:spacing w:line="300" w:lineRule="exact"/>
              <w:ind/>
              <w:jc w:val="center"/>
              <w:rPr>
                <w:rFonts w:eastAsia="仿宋_GB2312"/>
                <w:szCs w:val="21"/>
              </w:rPr>
            </w:pPr>
            <w:r>
              <w:rPr>
                <w:rFonts w:hint="eastAsia" w:eastAsia="仿宋_GB2312"/>
                <w:szCs w:val="21"/>
              </w:rPr>
              <w:t>得分</w:t>
            </w:r>
          </w:p>
        </w:tc>
      </w:tr>
      <w:tr>
        <w:trPr>
          <w:wBefore/>
          <w:trHeight/>
          <w:jc w:val="center"/>
        </w:trPr>
        <w:tc>
          <w:tcPr>
            <w:tcW w:w="1080" w:type="dxa"/>
            <w:vMerge w:val="continue"/>
            <w:vAlign w:val="center"/>
          </w:tcPr>
          <w:p>
            <w:pPr>
              <w:widowControl/>
              <w:spacing w:line="300" w:lineRule="exact"/>
              <w:jc w:val="center"/>
              <w:rPr>
                <w:rFonts w:eastAsia="仿宋_GB2312"/>
                <w:color w:val="000000"/>
                <w:kern w:val="0"/>
                <w:szCs w:val="21"/>
              </w:rPr>
            </w:pPr>
          </w:p>
        </w:tc>
        <w:tc>
          <w:tcPr>
            <w:tcW w:w="2033" w:type="dxa"/>
            <w:gridSpan w:val="2"/>
            <w:vAlign w:val="center"/>
          </w:tcPr>
          <w:p>
            <w:pPr>
              <w:spacing w:line="300" w:lineRule="exact"/>
              <w:ind/>
              <w:jc w:val="center"/>
              <w:rPr>
                <w:rFonts w:eastAsia="仿宋_GB2312"/>
                <w:szCs w:val="21"/>
              </w:rPr>
            </w:pPr>
            <w:r>
              <w:rPr>
                <w:rFonts w:hint="eastAsia" w:eastAsia="仿宋_GB2312"/>
                <w:color w:val="000000"/>
                <w:kern w:val="0"/>
                <w:szCs w:val="21"/>
              </w:rPr>
              <w:t>年度资金总额</w:t>
            </w:r>
          </w:p>
        </w:tc>
        <w:tc>
          <w:tcPr>
            <w:tcW w:w="1256" w:type="dxa"/>
            <w:vAlign w:val="center"/>
          </w:tcPr>
          <w:p>
            <w:pPr>
              <w:spacing w:line="300" w:lineRule="exact"/>
              <w:ind/>
              <w:rPr>
                <w:rFonts w:eastAsia="仿宋_GB2312"/>
                <w:szCs w:val="21"/>
              </w:rPr>
            </w:pPr>
            <w:r>
              <w:rPr>
                <w:rFonts w:hint="eastAsia" w:eastAsia="仿宋_GB2312"/>
                <w:szCs w:val="21"/>
              </w:rPr>
              <w:t>5897.79万元</w:t>
            </w:r>
          </w:p>
        </w:tc>
        <w:tc>
          <w:tcPr>
            <w:tcW w:w="1295" w:type="dxa"/>
            <w:gridSpan w:val="2"/>
            <w:vAlign w:val="center"/>
          </w:tcPr>
          <w:p>
            <w:pPr>
              <w:spacing w:line="300" w:lineRule="exact"/>
              <w:ind/>
              <w:rPr>
                <w:rFonts w:eastAsia="仿宋_GB2312"/>
                <w:szCs w:val="21"/>
              </w:rPr>
            </w:pPr>
            <w:r>
              <w:rPr>
                <w:rFonts w:hint="eastAsia" w:eastAsia="仿宋_GB2312"/>
                <w:szCs w:val="21"/>
              </w:rPr>
              <w:t>10521.32万元</w:t>
            </w:r>
          </w:p>
        </w:tc>
        <w:tc>
          <w:tcPr>
            <w:tcW w:w="1276" w:type="dxa"/>
            <w:vAlign w:val="center"/>
          </w:tcPr>
          <w:p>
            <w:pPr>
              <w:spacing w:line="300" w:lineRule="exact"/>
              <w:ind/>
              <w:jc w:val="center"/>
              <w:rPr>
                <w:rFonts w:eastAsia="仿宋_GB2312"/>
                <w:szCs w:val="21"/>
              </w:rPr>
            </w:pPr>
            <w:r>
              <w:rPr>
                <w:rFonts w:hint="eastAsia" w:eastAsia="仿宋_GB2312"/>
                <w:szCs w:val="21"/>
              </w:rPr>
              <w:t>10346.32</w:t>
            </w:r>
          </w:p>
        </w:tc>
        <w:tc>
          <w:tcPr>
            <w:tcW w:w="709" w:type="dxa"/>
            <w:vAlign w:val="center"/>
          </w:tcPr>
          <w:p>
            <w:pPr>
              <w:spacing w:line="300" w:lineRule="exact"/>
              <w:ind/>
              <w:jc w:val="center"/>
              <w:rPr>
                <w:rFonts w:eastAsia="仿宋_GB2312"/>
                <w:szCs w:val="21"/>
              </w:rPr>
            </w:pPr>
            <w:r>
              <w:rPr>
                <w:rFonts w:eastAsia="仿宋_GB2312"/>
                <w:szCs w:val="21"/>
              </w:rPr>
              <w:t>10</w:t>
            </w:r>
          </w:p>
        </w:tc>
        <w:tc>
          <w:tcPr>
            <w:tcW w:w="992" w:type="dxa"/>
            <w:vAlign w:val="center"/>
          </w:tcPr>
          <w:p>
            <w:pPr>
              <w:spacing w:line="300" w:lineRule="exact"/>
              <w:ind/>
              <w:jc w:val="center"/>
              <w:rPr>
                <w:rFonts w:eastAsia="仿宋_GB2312"/>
                <w:szCs w:val="21"/>
              </w:rPr>
            </w:pPr>
            <w:r>
              <w:rPr>
                <w:rFonts w:hint="eastAsia" w:eastAsia="仿宋_GB2312"/>
                <w:szCs w:val="21"/>
              </w:rPr>
              <w:t>9</w:t>
            </w:r>
            <w:r>
              <w:rPr>
                <w:rFonts w:eastAsia="仿宋_GB2312"/>
                <w:szCs w:val="21"/>
              </w:rPr>
              <w:t>8</w:t>
            </w:r>
            <w:r>
              <w:rPr>
                <w:rFonts w:hint="eastAsia" w:eastAsia="仿宋_GB2312"/>
                <w:szCs w:val="21"/>
              </w:rPr>
              <w:t>.</w:t>
            </w:r>
            <w:r>
              <w:rPr>
                <w:rFonts w:eastAsia="仿宋_GB2312"/>
                <w:szCs w:val="21"/>
              </w:rPr>
              <w:t>33</w:t>
            </w:r>
            <w:r>
              <w:rPr>
                <w:rFonts w:hint="eastAsia" w:eastAsia="仿宋_GB2312"/>
                <w:szCs w:val="21"/>
              </w:rPr>
              <w:t>%</w:t>
            </w:r>
          </w:p>
        </w:tc>
        <w:tc>
          <w:tcPr>
            <w:tcW w:w="1352" w:type="dxa"/>
            <w:vAlign w:val="center"/>
          </w:tcPr>
          <w:p>
            <w:pPr>
              <w:spacing w:line="300" w:lineRule="exact"/>
              <w:ind/>
              <w:jc w:val="center"/>
              <w:rPr>
                <w:rFonts w:eastAsia="仿宋_GB2312"/>
                <w:szCs w:val="21"/>
              </w:rPr>
            </w:pPr>
            <w:r>
              <w:rPr>
                <w:rFonts w:hint="eastAsia" w:eastAsia="仿宋_GB2312"/>
                <w:szCs w:val="21"/>
              </w:rPr>
              <w:t>9.5</w:t>
            </w:r>
          </w:p>
        </w:tc>
      </w:tr>
      <w:tr>
        <w:trPr>
          <w:wBefore/>
          <w:trHeigh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按收入性质分：10521.32</w:t>
            </w:r>
          </w:p>
        </w:tc>
        <w:tc>
          <w:tcPr>
            <w:tcW w:w="4329" w:type="dxa"/>
            <w:gridSpan w:val="4"/>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按支出性质分：10346.32</w:t>
            </w:r>
          </w:p>
        </w:tc>
      </w:tr>
      <w:tr>
        <w:trPr>
          <w:wBefore/>
          <w:trHeigh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widowControl/>
              <w:spacing w:line="300" w:lineRule="exact"/>
              <w:ind/>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一般公共预算：5523.05</w:t>
            </w:r>
          </w:p>
        </w:tc>
        <w:tc>
          <w:tcPr>
            <w:tcW w:w="4329" w:type="dxa"/>
            <w:gridSpan w:val="4"/>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其中：基本支出：4893.87</w:t>
            </w:r>
          </w:p>
        </w:tc>
      </w:tr>
      <w:tr>
        <w:trPr>
          <w:wBefore/>
          <w:trHeigh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政府性基金拨款：</w:t>
            </w:r>
          </w:p>
        </w:tc>
        <w:tc>
          <w:tcPr>
            <w:tcW w:w="4329" w:type="dxa"/>
            <w:gridSpan w:val="4"/>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项目支出：506.28</w:t>
            </w:r>
          </w:p>
        </w:tc>
      </w:tr>
      <w:tr>
        <w:trPr>
          <w:wBefore/>
          <w:trHeight w:val="395"/>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纳入专户管理的非税收入拨款：</w:t>
            </w:r>
          </w:p>
        </w:tc>
        <w:tc>
          <w:tcPr>
            <w:tcW w:w="4329" w:type="dxa"/>
            <w:gridSpan w:val="4"/>
            <w:vAlign w:val="center"/>
          </w:tcPr>
          <w:p>
            <w:pPr>
              <w:widowControl/>
              <w:spacing w:line="300" w:lineRule="exact"/>
              <w:ind/>
              <w:jc w:val="left"/>
              <w:rPr>
                <w:rFonts w:eastAsia="仿宋_GB2312"/>
                <w:color w:val="000000"/>
                <w:kern w:val="0"/>
                <w:szCs w:val="21"/>
              </w:rPr>
            </w:pPr>
          </w:p>
        </w:tc>
      </w:tr>
      <w:tr>
        <w:trPr>
          <w:wBefore/>
          <w:trHeight w:val="557"/>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其他资金：4998.27</w:t>
            </w:r>
          </w:p>
        </w:tc>
        <w:tc>
          <w:tcPr>
            <w:tcW w:w="4329" w:type="dxa"/>
            <w:gridSpan w:val="4"/>
            <w:vAlign w:val="center"/>
          </w:tcPr>
          <w:p>
            <w:pPr>
              <w:widowControl/>
              <w:spacing w:line="300" w:lineRule="exact"/>
              <w:ind/>
              <w:jc w:val="left"/>
              <w:rPr>
                <w:rFonts w:eastAsia="仿宋_GB2312"/>
                <w:color w:val="000000"/>
                <w:kern w:val="0"/>
                <w:szCs w:val="21"/>
              </w:rPr>
            </w:pPr>
          </w:p>
        </w:tc>
      </w:tr>
      <w:tr>
        <w:trPr>
          <w:wBefore/>
          <w:trHeight w:val="409"/>
          <w:jc w:val="center"/>
        </w:trPr>
        <w:tc>
          <w:tcPr>
            <w:tcW w:w="1080"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预期目标</w:t>
            </w:r>
          </w:p>
        </w:tc>
        <w:tc>
          <w:tcPr>
            <w:tcW w:w="4329" w:type="dxa"/>
            <w:gridSpan w:val="4"/>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实际完成情况　</w:t>
            </w:r>
          </w:p>
        </w:tc>
      </w:tr>
      <w:tr>
        <w:trPr>
          <w:wBefore/>
          <w:trHeigh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4584" w:type="dxa"/>
            <w:gridSpan w:val="5"/>
            <w:vAlign w:val="center"/>
          </w:tcPr>
          <w:p>
            <w:pPr>
              <w:spacing w:line="300" w:lineRule="exact"/>
              <w:ind w:firstLine="645"/>
              <w:rPr>
                <w:rFonts w:eastAsia="仿宋_GB2312"/>
                <w:color w:val="000000"/>
                <w:kern w:val="0"/>
                <w:szCs w:val="21"/>
              </w:rPr>
            </w:pPr>
            <w:r>
              <w:rPr>
                <w:rFonts w:hint="eastAsia" w:eastAsia="仿宋_GB2312"/>
                <w:color w:val="000000"/>
                <w:kern w:val="0"/>
                <w:szCs w:val="21"/>
              </w:rPr>
              <w:t>坚持稳中求进工作总基调，以促改革、稳增长、防风险、保稳定为主线，以党建为引领，统筹推进地质工作、经济工作、管理工作、民生工作，努力达到改革步稳、发展平稳、队伍安稳。</w:t>
            </w:r>
          </w:p>
          <w:p>
            <w:pPr>
              <w:widowControl/>
              <w:spacing w:line="300" w:lineRule="exact"/>
              <w:ind/>
              <w:jc w:val="center"/>
              <w:rPr>
                <w:rFonts w:eastAsia="仿宋_GB2312"/>
                <w:color w:val="000000"/>
                <w:kern w:val="0"/>
                <w:szCs w:val="21"/>
              </w:rPr>
            </w:pPr>
            <w:r>
              <w:rPr>
                <w:rFonts w:hint="eastAsia" w:eastAsia="仿宋_GB2312"/>
                <w:color w:val="000000"/>
                <w:kern w:val="0"/>
                <w:szCs w:val="21"/>
              </w:rPr>
              <w:t>　　</w:t>
            </w:r>
          </w:p>
        </w:tc>
        <w:tc>
          <w:tcPr>
            <w:tcW w:w="4329" w:type="dxa"/>
            <w:gridSpan w:val="4"/>
            <w:vAlign w:val="center"/>
          </w:tcPr>
          <w:p>
            <w:pPr>
              <w:spacing w:line="300" w:lineRule="exact"/>
              <w:ind w:firstLine="645"/>
              <w:rPr>
                <w:rFonts w:eastAsia="仿宋_GB2312"/>
                <w:color w:val="000000"/>
                <w:kern w:val="0"/>
                <w:szCs w:val="21"/>
              </w:rPr>
            </w:pPr>
            <w:r>
              <w:rPr>
                <w:rFonts w:hint="eastAsia" w:eastAsia="仿宋_GB2312"/>
                <w:color w:val="000000"/>
                <w:kern w:val="0"/>
                <w:szCs w:val="21"/>
              </w:rPr>
              <w:t>全年职工人均收入8.07万元，比上年增长5.8%。取得了安全工作合格、社会综合治理合格、党风廉政建设良好的成绩。</w:t>
            </w:r>
          </w:p>
          <w:p>
            <w:pPr>
              <w:widowControl/>
              <w:spacing w:line="300" w:lineRule="exact"/>
              <w:ind/>
              <w:jc w:val="left"/>
              <w:rPr>
                <w:rFonts w:eastAsia="仿宋_GB2312"/>
                <w:color w:val="000000"/>
                <w:kern w:val="0"/>
                <w:szCs w:val="21"/>
              </w:rPr>
            </w:pPr>
          </w:p>
        </w:tc>
      </w:tr>
      <w:tr>
        <w:trPr>
          <w:wBefore/>
          <w:trHeight/>
          <w:jc w:val="center"/>
        </w:trPr>
        <w:tc>
          <w:tcPr>
            <w:tcW w:w="1080"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绩</w:t>
            </w:r>
          </w:p>
          <w:p>
            <w:pPr>
              <w:widowControl/>
              <w:spacing w:line="300" w:lineRule="exact"/>
              <w:ind/>
              <w:jc w:val="center"/>
              <w:rPr>
                <w:rFonts w:eastAsia="仿宋_GB2312"/>
                <w:color w:val="000000"/>
                <w:kern w:val="0"/>
                <w:szCs w:val="21"/>
              </w:rPr>
            </w:pPr>
            <w:r>
              <w:rPr>
                <w:rFonts w:hint="eastAsia" w:eastAsia="仿宋_GB2312"/>
                <w:color w:val="000000"/>
                <w:kern w:val="0"/>
                <w:szCs w:val="21"/>
              </w:rPr>
              <w:t>效</w:t>
            </w:r>
          </w:p>
          <w:p>
            <w:pPr>
              <w:widowControl/>
              <w:spacing w:line="300" w:lineRule="exact"/>
              <w:ind/>
              <w:jc w:val="center"/>
              <w:rPr>
                <w:rFonts w:eastAsia="仿宋_GB2312"/>
                <w:color w:val="000000"/>
                <w:kern w:val="0"/>
                <w:szCs w:val="21"/>
              </w:rPr>
            </w:pPr>
            <w:r>
              <w:rPr>
                <w:rFonts w:hint="eastAsia" w:eastAsia="仿宋_GB2312"/>
                <w:color w:val="000000"/>
                <w:kern w:val="0"/>
                <w:szCs w:val="21"/>
              </w:rPr>
              <w:t>指</w:t>
            </w:r>
          </w:p>
          <w:p>
            <w:pPr>
              <w:widowControl/>
              <w:spacing w:line="300" w:lineRule="exact"/>
              <w:ind/>
              <w:jc w:val="center"/>
              <w:rPr>
                <w:rFonts w:eastAsia="仿宋_GB2312"/>
                <w:color w:val="000000"/>
                <w:kern w:val="0"/>
                <w:szCs w:val="21"/>
              </w:rPr>
            </w:pPr>
            <w:r>
              <w:rPr>
                <w:rFonts w:hint="eastAsia" w:eastAsia="仿宋_GB2312"/>
                <w:color w:val="000000"/>
                <w:kern w:val="0"/>
                <w:szCs w:val="21"/>
              </w:rPr>
              <w:t>标</w:t>
            </w:r>
          </w:p>
        </w:tc>
        <w:tc>
          <w:tcPr>
            <w:tcW w:w="952"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一级指标</w:t>
            </w:r>
          </w:p>
        </w:tc>
        <w:tc>
          <w:tcPr>
            <w:tcW w:w="1081"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三级指标</w:t>
            </w:r>
          </w:p>
        </w:tc>
        <w:tc>
          <w:tcPr>
            <w:tcW w:w="1200"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年度</w:t>
            </w:r>
          </w:p>
          <w:p>
            <w:pPr>
              <w:widowControl/>
              <w:spacing w:line="300" w:lineRule="exact"/>
              <w:ind/>
              <w:jc w:val="center"/>
              <w:rPr>
                <w:rFonts w:eastAsia="仿宋_GB2312"/>
                <w:color w:val="000000"/>
                <w:kern w:val="0"/>
                <w:szCs w:val="21"/>
              </w:rPr>
            </w:pPr>
            <w:r>
              <w:rPr>
                <w:rFonts w:hint="eastAsia" w:eastAsia="仿宋_GB2312"/>
                <w:color w:val="000000"/>
                <w:kern w:val="0"/>
                <w:szCs w:val="21"/>
              </w:rPr>
              <w:t>指标值</w:t>
            </w:r>
          </w:p>
        </w:tc>
        <w:tc>
          <w:tcPr>
            <w:tcW w:w="1276" w:type="dxa"/>
            <w:vAlign w:val="center"/>
          </w:tcPr>
          <w:p>
            <w:pPr>
              <w:widowControl/>
              <w:spacing w:line="300" w:lineRule="exact"/>
              <w:ind/>
              <w:rPr>
                <w:rFonts w:eastAsia="仿宋_GB2312"/>
                <w:color w:val="000000"/>
                <w:kern w:val="0"/>
                <w:szCs w:val="21"/>
              </w:rPr>
            </w:pPr>
            <w:r>
              <w:rPr>
                <w:rFonts w:hint="eastAsia" w:eastAsia="仿宋_GB2312"/>
                <w:color w:val="000000"/>
                <w:kern w:val="0"/>
                <w:szCs w:val="21"/>
              </w:rPr>
              <w:t>实际完成值</w:t>
            </w:r>
          </w:p>
        </w:tc>
        <w:tc>
          <w:tcPr>
            <w:tcW w:w="709"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分值</w:t>
            </w:r>
          </w:p>
        </w:tc>
        <w:tc>
          <w:tcPr>
            <w:tcW w:w="992"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得分</w:t>
            </w:r>
          </w:p>
        </w:tc>
        <w:tc>
          <w:tcPr>
            <w:tcW w:w="1352" w:type="dxa"/>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偏差原因</w:t>
            </w:r>
          </w:p>
          <w:p>
            <w:pPr>
              <w:widowControl/>
              <w:spacing w:line="300" w:lineRule="exact"/>
              <w:ind/>
              <w:jc w:val="center"/>
              <w:rPr>
                <w:rFonts w:eastAsia="仿宋_GB2312"/>
                <w:color w:val="000000"/>
                <w:kern w:val="0"/>
                <w:szCs w:val="21"/>
              </w:rPr>
            </w:pPr>
            <w:r>
              <w:rPr>
                <w:rFonts w:hint="eastAsia" w:eastAsia="仿宋_GB2312"/>
                <w:color w:val="000000"/>
                <w:kern w:val="0"/>
                <w:szCs w:val="21"/>
              </w:rPr>
              <w:t>分析及</w:t>
            </w:r>
          </w:p>
          <w:p>
            <w:pPr>
              <w:widowControl/>
              <w:spacing w:line="300" w:lineRule="exact"/>
              <w:ind/>
              <w:jc w:val="center"/>
              <w:rPr>
                <w:rFonts w:eastAsia="仿宋_GB2312"/>
                <w:color w:val="000000"/>
                <w:kern w:val="0"/>
                <w:szCs w:val="21"/>
              </w:rPr>
            </w:pPr>
            <w:r>
              <w:rPr>
                <w:rFonts w:hint="eastAsia" w:eastAsia="仿宋_GB2312"/>
                <w:color w:val="000000"/>
                <w:kern w:val="0"/>
                <w:szCs w:val="21"/>
              </w:rPr>
              <w:t>改进措施</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产出</w:t>
            </w:r>
          </w:p>
          <w:p>
            <w:pPr>
              <w:widowControl/>
              <w:spacing w:line="300" w:lineRule="exact"/>
              <w:ind/>
              <w:jc w:val="center"/>
              <w:rPr>
                <w:rFonts w:eastAsia="仿宋_GB2312"/>
                <w:color w:val="000000"/>
                <w:kern w:val="0"/>
                <w:szCs w:val="21"/>
              </w:rPr>
            </w:pPr>
            <w:r>
              <w:rPr>
                <w:rFonts w:hint="eastAsia" w:eastAsia="仿宋_GB2312"/>
                <w:color w:val="000000"/>
                <w:kern w:val="0"/>
                <w:szCs w:val="21"/>
              </w:rPr>
              <w:t>指标</w:t>
            </w:r>
          </w:p>
          <w:p>
            <w:pPr>
              <w:widowControl/>
              <w:spacing w:line="300" w:lineRule="exact"/>
              <w:ind/>
              <w:jc w:val="center"/>
              <w:rPr>
                <w:rFonts w:eastAsia="仿宋_GB2312"/>
                <w:color w:val="000000"/>
                <w:kern w:val="0"/>
                <w:szCs w:val="21"/>
              </w:rPr>
            </w:pPr>
          </w:p>
          <w:p>
            <w:pPr>
              <w:widowControl/>
              <w:spacing w:line="300" w:lineRule="exact"/>
              <w:ind/>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地</w:t>
            </w:r>
            <w:r>
              <w:rPr>
                <w:rFonts w:eastAsia="仿宋_GB2312"/>
                <w:color w:val="000000"/>
                <w:kern w:val="0"/>
                <w:szCs w:val="21"/>
              </w:rPr>
              <w:t>质勘查业完</w:t>
            </w:r>
            <w:r>
              <w:rPr>
                <w:rFonts w:hint="eastAsia" w:eastAsia="仿宋_GB2312"/>
                <w:color w:val="000000"/>
                <w:kern w:val="0"/>
                <w:szCs w:val="21"/>
              </w:rPr>
              <w:t>成</w:t>
            </w:r>
            <w:r>
              <w:rPr>
                <w:rFonts w:eastAsia="仿宋_GB2312"/>
                <w:color w:val="000000"/>
                <w:kern w:val="0"/>
                <w:szCs w:val="21"/>
              </w:rPr>
              <w:t>项目数</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全</w:t>
            </w:r>
            <w:r>
              <w:rPr>
                <w:rFonts w:eastAsia="仿宋_GB2312"/>
                <w:color w:val="000000"/>
                <w:kern w:val="0"/>
                <w:szCs w:val="21"/>
              </w:rPr>
              <w:t>年</w:t>
            </w:r>
            <w:r>
              <w:rPr>
                <w:rFonts w:hint="eastAsia" w:ascii="仿宋" w:hAnsi="仿宋" w:eastAsia="仿宋"/>
                <w:color w:val="000000"/>
                <w:kern w:val="0"/>
                <w:szCs w:val="21"/>
              </w:rPr>
              <w:t>&gt;</w:t>
            </w:r>
            <w:r>
              <w:rPr>
                <w:rFonts w:ascii="仿宋" w:hAnsi="仿宋" w:eastAsia="仿宋"/>
                <w:color w:val="000000"/>
                <w:kern w:val="0"/>
                <w:szCs w:val="21"/>
              </w:rPr>
              <w:t>30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42</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生态</w:t>
            </w:r>
            <w:r>
              <w:rPr>
                <w:rFonts w:eastAsia="仿宋_GB2312"/>
                <w:color w:val="000000"/>
                <w:kern w:val="0"/>
                <w:szCs w:val="21"/>
              </w:rPr>
              <w:t>环</w:t>
            </w:r>
            <w:r>
              <w:rPr>
                <w:rFonts w:hint="eastAsia" w:eastAsia="仿宋_GB2312"/>
                <w:color w:val="000000"/>
                <w:kern w:val="0"/>
                <w:szCs w:val="21"/>
              </w:rPr>
              <w:t>境</w:t>
            </w:r>
            <w:r>
              <w:rPr>
                <w:rFonts w:eastAsia="仿宋_GB2312"/>
                <w:color w:val="000000"/>
                <w:kern w:val="0"/>
                <w:szCs w:val="21"/>
              </w:rPr>
              <w:t>项目数</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全</w:t>
            </w:r>
            <w:r>
              <w:rPr>
                <w:rFonts w:eastAsia="仿宋_GB2312"/>
                <w:color w:val="000000"/>
                <w:kern w:val="0"/>
                <w:szCs w:val="21"/>
              </w:rPr>
              <w:t>年</w:t>
            </w:r>
            <w:r>
              <w:rPr>
                <w:rFonts w:hint="eastAsia" w:ascii="仿宋" w:hAnsi="仿宋" w:eastAsia="仿宋"/>
                <w:color w:val="000000"/>
                <w:kern w:val="0"/>
                <w:szCs w:val="21"/>
              </w:rPr>
              <w:t>&gt;</w:t>
            </w:r>
            <w:r>
              <w:rPr>
                <w:rFonts w:hint="eastAsia" w:eastAsia="仿宋_GB2312"/>
                <w:color w:val="000000"/>
                <w:kern w:val="0"/>
                <w:szCs w:val="21"/>
              </w:rPr>
              <w:t>10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12</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大</w:t>
            </w:r>
            <w:r>
              <w:rPr>
                <w:rFonts w:eastAsia="仿宋_GB2312"/>
                <w:color w:val="000000"/>
                <w:kern w:val="0"/>
                <w:szCs w:val="21"/>
              </w:rPr>
              <w:t>地</w:t>
            </w:r>
            <w:r>
              <w:rPr>
                <w:rFonts w:hint="eastAsia" w:eastAsia="仿宋_GB2312"/>
                <w:color w:val="000000"/>
                <w:kern w:val="0"/>
                <w:szCs w:val="21"/>
              </w:rPr>
              <w:t>质服</w:t>
            </w:r>
            <w:r>
              <w:rPr>
                <w:rFonts w:eastAsia="仿宋_GB2312"/>
                <w:color w:val="000000"/>
                <w:kern w:val="0"/>
                <w:szCs w:val="21"/>
              </w:rPr>
              <w:t>务项目</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全</w:t>
            </w:r>
            <w:r>
              <w:rPr>
                <w:rFonts w:eastAsia="仿宋_GB2312"/>
                <w:color w:val="000000"/>
                <w:kern w:val="0"/>
                <w:szCs w:val="21"/>
              </w:rPr>
              <w:t>年</w:t>
            </w:r>
            <w:r>
              <w:rPr>
                <w:rFonts w:hint="eastAsia" w:ascii="仿宋" w:hAnsi="仿宋" w:eastAsia="仿宋"/>
                <w:color w:val="000000"/>
                <w:kern w:val="0"/>
                <w:szCs w:val="21"/>
              </w:rPr>
              <w:t>&gt;</w:t>
            </w:r>
            <w:r>
              <w:rPr>
                <w:rFonts w:hint="eastAsia" w:eastAsia="仿宋_GB2312"/>
                <w:color w:val="000000"/>
                <w:kern w:val="0"/>
                <w:szCs w:val="21"/>
              </w:rPr>
              <w:t>40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49</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加</w:t>
            </w:r>
            <w:r>
              <w:rPr>
                <w:rFonts w:eastAsia="仿宋_GB2312"/>
                <w:color w:val="000000"/>
                <w:kern w:val="0"/>
                <w:szCs w:val="21"/>
              </w:rPr>
              <w:t>强人才培训</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全</w:t>
            </w:r>
            <w:r>
              <w:rPr>
                <w:rFonts w:eastAsia="仿宋_GB2312"/>
                <w:color w:val="000000"/>
                <w:kern w:val="0"/>
                <w:szCs w:val="21"/>
              </w:rPr>
              <w:t>年</w:t>
            </w:r>
            <w:r>
              <w:rPr>
                <w:rFonts w:hint="eastAsia" w:ascii="仿宋" w:hAnsi="仿宋" w:eastAsia="仿宋"/>
                <w:color w:val="000000"/>
                <w:kern w:val="0"/>
                <w:szCs w:val="21"/>
              </w:rPr>
              <w:t>&gt;</w:t>
            </w:r>
            <w:r>
              <w:rPr>
                <w:rFonts w:ascii="仿宋" w:hAnsi="仿宋" w:eastAsia="仿宋"/>
                <w:color w:val="000000"/>
                <w:kern w:val="0"/>
                <w:szCs w:val="21"/>
              </w:rPr>
              <w:t>100</w:t>
            </w:r>
            <w:r>
              <w:rPr>
                <w:rFonts w:hint="eastAsia" w:ascii="仿宋" w:hAnsi="仿宋" w:eastAsia="仿宋"/>
                <w:color w:val="000000"/>
                <w:kern w:val="0"/>
                <w:szCs w:val="21"/>
              </w:rPr>
              <w:t>人</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206人</w:t>
            </w:r>
            <w:r>
              <w:rPr>
                <w:rFonts w:eastAsia="仿宋_GB2312"/>
                <w:color w:val="000000"/>
                <w:kern w:val="0"/>
                <w:szCs w:val="21"/>
              </w:rPr>
              <w:t>参</w:t>
            </w:r>
            <w:r>
              <w:rPr>
                <w:rFonts w:hint="eastAsia" w:eastAsia="仿宋_GB2312"/>
                <w:color w:val="000000"/>
                <w:kern w:val="0"/>
                <w:szCs w:val="21"/>
              </w:rPr>
              <w:t>与</w:t>
            </w:r>
            <w:r>
              <w:rPr>
                <w:rFonts w:eastAsia="仿宋_GB2312"/>
                <w:color w:val="000000"/>
                <w:kern w:val="0"/>
                <w:szCs w:val="21"/>
              </w:rPr>
              <w:t>培训</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5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安</w:t>
            </w:r>
            <w:r>
              <w:rPr>
                <w:rFonts w:eastAsia="仿宋_GB2312"/>
                <w:color w:val="000000"/>
                <w:kern w:val="0"/>
                <w:szCs w:val="21"/>
              </w:rPr>
              <w:t>全工作</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全</w:t>
            </w:r>
            <w:r>
              <w:rPr>
                <w:rFonts w:eastAsia="仿宋_GB2312"/>
                <w:color w:val="000000"/>
                <w:kern w:val="0"/>
                <w:szCs w:val="21"/>
              </w:rPr>
              <w:t>年</w:t>
            </w:r>
            <w:r>
              <w:rPr>
                <w:rFonts w:hint="eastAsia" w:eastAsia="仿宋_GB2312"/>
                <w:color w:val="000000"/>
                <w:kern w:val="0"/>
                <w:szCs w:val="21"/>
              </w:rPr>
              <w:t>无</w:t>
            </w:r>
            <w:r>
              <w:rPr>
                <w:rFonts w:eastAsia="仿宋_GB2312"/>
                <w:color w:val="000000"/>
                <w:kern w:val="0"/>
                <w:szCs w:val="21"/>
              </w:rPr>
              <w:t>安</w:t>
            </w:r>
            <w:r>
              <w:rPr>
                <w:rFonts w:hint="eastAsia" w:eastAsia="仿宋_GB2312"/>
                <w:color w:val="000000"/>
                <w:kern w:val="0"/>
                <w:szCs w:val="21"/>
              </w:rPr>
              <w:t>全</w:t>
            </w:r>
            <w:r>
              <w:rPr>
                <w:rFonts w:eastAsia="仿宋_GB2312"/>
                <w:color w:val="000000"/>
                <w:kern w:val="0"/>
                <w:szCs w:val="21"/>
              </w:rPr>
              <w:t>事帮</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完</w:t>
            </w:r>
            <w:r>
              <w:rPr>
                <w:rFonts w:eastAsia="仿宋_GB2312"/>
                <w:color w:val="000000"/>
                <w:kern w:val="0"/>
                <w:szCs w:val="21"/>
              </w:rPr>
              <w:t>成</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党</w:t>
            </w:r>
            <w:r>
              <w:rPr>
                <w:rFonts w:eastAsia="仿宋_GB2312"/>
                <w:color w:val="000000"/>
                <w:kern w:val="0"/>
                <w:szCs w:val="21"/>
              </w:rPr>
              <w:t>风</w:t>
            </w:r>
            <w:r>
              <w:rPr>
                <w:rFonts w:eastAsia="仿宋_GB2312"/>
                <w:color w:val="000000"/>
                <w:kern w:val="0"/>
                <w:szCs w:val="21"/>
              </w:rPr>
              <w:t>廉</w:t>
            </w:r>
            <w:r>
              <w:rPr>
                <w:rFonts w:hint="eastAsia" w:eastAsia="仿宋_GB2312"/>
                <w:color w:val="000000"/>
                <w:kern w:val="0"/>
                <w:szCs w:val="21"/>
              </w:rPr>
              <w:t>政</w:t>
            </w:r>
            <w:r>
              <w:rPr>
                <w:rFonts w:eastAsia="仿宋_GB2312"/>
                <w:color w:val="000000"/>
                <w:kern w:val="0"/>
                <w:szCs w:val="21"/>
              </w:rPr>
              <w:t>及综治工作</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党</w:t>
            </w:r>
            <w:r>
              <w:rPr>
                <w:rFonts w:eastAsia="仿宋_GB2312"/>
                <w:color w:val="000000"/>
                <w:kern w:val="0"/>
                <w:szCs w:val="21"/>
              </w:rPr>
              <w:t>建工作有序</w:t>
            </w:r>
            <w:r>
              <w:rPr>
                <w:rFonts w:hint="eastAsia" w:eastAsia="仿宋_GB2312"/>
                <w:color w:val="000000"/>
                <w:kern w:val="0"/>
                <w:szCs w:val="21"/>
              </w:rPr>
              <w:t>推</w:t>
            </w:r>
            <w:r>
              <w:rPr>
                <w:rFonts w:eastAsia="仿宋_GB2312"/>
                <w:color w:val="000000"/>
                <w:kern w:val="0"/>
                <w:szCs w:val="21"/>
              </w:rPr>
              <w:t>进</w:t>
            </w:r>
            <w:r>
              <w:rPr>
                <w:rFonts w:hint="eastAsia" w:eastAsia="仿宋_GB2312"/>
                <w:color w:val="000000"/>
                <w:kern w:val="0"/>
                <w:szCs w:val="21"/>
              </w:rPr>
              <w:t>,综治</w:t>
            </w:r>
            <w:r>
              <w:rPr>
                <w:rFonts w:eastAsia="仿宋_GB2312"/>
                <w:color w:val="000000"/>
                <w:kern w:val="0"/>
                <w:szCs w:val="21"/>
              </w:rPr>
              <w:t>工作合格</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年</w:t>
            </w:r>
            <w:r>
              <w:rPr>
                <w:rFonts w:eastAsia="仿宋_GB2312"/>
                <w:color w:val="000000"/>
                <w:kern w:val="0"/>
                <w:szCs w:val="21"/>
              </w:rPr>
              <w:t>度</w:t>
            </w:r>
            <w:r>
              <w:rPr>
                <w:rFonts w:hint="eastAsia" w:eastAsia="仿宋_GB2312"/>
                <w:color w:val="000000"/>
                <w:kern w:val="0"/>
                <w:szCs w:val="21"/>
              </w:rPr>
              <w:t>认真履行全面从严治党主体责任和领导干部“一岗双责”，推动党风、政风持续向好,综</w:t>
            </w:r>
            <w:r>
              <w:rPr>
                <w:rFonts w:eastAsia="仿宋_GB2312"/>
                <w:color w:val="000000"/>
                <w:kern w:val="0"/>
                <w:szCs w:val="21"/>
              </w:rPr>
              <w:t>合治理合格</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绩</w:t>
            </w:r>
          </w:p>
          <w:p>
            <w:pPr>
              <w:widowControl/>
              <w:spacing w:line="300" w:lineRule="exact"/>
              <w:ind/>
              <w:jc w:val="center"/>
              <w:rPr>
                <w:rFonts w:eastAsia="仿宋_GB2312"/>
                <w:color w:val="000000"/>
                <w:kern w:val="0"/>
                <w:szCs w:val="21"/>
              </w:rPr>
            </w:pPr>
            <w:r>
              <w:rPr>
                <w:rFonts w:hint="eastAsia" w:eastAsia="仿宋_GB2312"/>
                <w:color w:val="000000"/>
                <w:kern w:val="0"/>
                <w:szCs w:val="21"/>
              </w:rPr>
              <w:t>效</w:t>
            </w:r>
          </w:p>
          <w:p>
            <w:pPr>
              <w:widowControl/>
              <w:spacing w:line="300" w:lineRule="exact"/>
              <w:ind/>
              <w:jc w:val="center"/>
              <w:rPr>
                <w:rFonts w:eastAsia="仿宋_GB2312"/>
                <w:color w:val="000000"/>
                <w:kern w:val="0"/>
                <w:szCs w:val="21"/>
              </w:rPr>
            </w:pPr>
            <w:r>
              <w:rPr>
                <w:rFonts w:hint="eastAsia" w:eastAsia="仿宋_GB2312"/>
                <w:color w:val="000000"/>
                <w:kern w:val="0"/>
                <w:szCs w:val="21"/>
              </w:rPr>
              <w:t>指</w:t>
            </w:r>
          </w:p>
          <w:p>
            <w:pPr>
              <w:spacing w:line="300" w:lineRule="exact"/>
              <w:ind/>
              <w:jc w:val="center"/>
              <w:rPr>
                <w:rFonts w:eastAsia="仿宋_GB2312"/>
                <w:color w:val="000000"/>
                <w:kern w:val="0"/>
                <w:szCs w:val="21"/>
              </w:rPr>
            </w:pPr>
            <w:r>
              <w:rPr>
                <w:rFonts w:hint="eastAsia" w:eastAsia="仿宋_GB2312"/>
                <w:color w:val="000000"/>
                <w:kern w:val="0"/>
                <w:szCs w:val="21"/>
              </w:rPr>
              <w:t>标</w:t>
            </w:r>
          </w:p>
        </w:tc>
        <w:tc>
          <w:tcPr>
            <w:tcW w:w="952"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产出</w:t>
            </w:r>
          </w:p>
          <w:p>
            <w:pPr>
              <w:widowControl/>
              <w:spacing w:line="300" w:lineRule="exact"/>
              <w:ind/>
              <w:jc w:val="center"/>
              <w:rPr>
                <w:rFonts w:eastAsia="仿宋_GB2312"/>
                <w:color w:val="000000"/>
                <w:kern w:val="0"/>
                <w:szCs w:val="21"/>
              </w:rPr>
            </w:pPr>
            <w:r>
              <w:rPr>
                <w:rFonts w:hint="eastAsia" w:eastAsia="仿宋_GB2312"/>
                <w:color w:val="000000"/>
                <w:kern w:val="0"/>
                <w:szCs w:val="21"/>
              </w:rPr>
              <w:t>指标</w:t>
            </w:r>
          </w:p>
          <w:p>
            <w:pPr>
              <w:widowControl/>
              <w:spacing w:line="300" w:lineRule="exact"/>
              <w:ind/>
              <w:jc w:val="center"/>
              <w:rPr>
                <w:rFonts w:eastAsia="仿宋_GB2312"/>
                <w:color w:val="000000"/>
                <w:kern w:val="0"/>
                <w:szCs w:val="21"/>
              </w:rPr>
            </w:pPr>
          </w:p>
          <w:p>
            <w:pPr>
              <w:spacing w:line="300" w:lineRule="exact"/>
              <w:ind/>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工</w:t>
            </w:r>
            <w:r>
              <w:rPr>
                <w:rFonts w:eastAsia="仿宋_GB2312"/>
                <w:color w:val="000000"/>
                <w:kern w:val="0"/>
                <w:szCs w:val="21"/>
              </w:rPr>
              <w:t>作完成及时率</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100%</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7</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widowControl/>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restart"/>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效益指标</w:t>
            </w:r>
          </w:p>
          <w:p>
            <w:pPr>
              <w:widowControl/>
              <w:spacing w:line="300" w:lineRule="exact"/>
              <w:ind/>
              <w:jc w:val="left"/>
              <w:rPr>
                <w:rFonts w:eastAsia="仿宋_GB2312"/>
                <w:color w:val="000000"/>
                <w:kern w:val="0"/>
                <w:szCs w:val="21"/>
              </w:rPr>
            </w:pPr>
          </w:p>
          <w:p>
            <w:pPr>
              <w:widowControl/>
              <w:spacing w:line="300" w:lineRule="exact"/>
              <w:ind/>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经济效</w:t>
            </w:r>
          </w:p>
          <w:p>
            <w:pPr>
              <w:widowControl/>
              <w:spacing w:line="300" w:lineRule="exact"/>
              <w:ind/>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全</w:t>
            </w:r>
            <w:r>
              <w:rPr>
                <w:rFonts w:eastAsia="仿宋_GB2312"/>
                <w:color w:val="000000"/>
                <w:kern w:val="0"/>
                <w:szCs w:val="21"/>
              </w:rPr>
              <w:t>队各</w:t>
            </w:r>
            <w:r>
              <w:rPr>
                <w:rFonts w:hint="eastAsia" w:eastAsia="仿宋_GB2312"/>
                <w:color w:val="000000"/>
                <w:kern w:val="0"/>
                <w:szCs w:val="21"/>
              </w:rPr>
              <w:t>项</w:t>
            </w:r>
            <w:r>
              <w:rPr>
                <w:rFonts w:eastAsia="仿宋_GB2312"/>
                <w:color w:val="000000"/>
                <w:kern w:val="0"/>
                <w:szCs w:val="21"/>
              </w:rPr>
              <w:t>工作完成</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95%</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社会效</w:t>
            </w:r>
          </w:p>
          <w:p>
            <w:pPr>
              <w:widowControl/>
              <w:spacing w:line="300" w:lineRule="exact"/>
              <w:ind/>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地</w:t>
            </w:r>
            <w:r>
              <w:rPr>
                <w:rFonts w:eastAsia="仿宋_GB2312"/>
                <w:color w:val="000000"/>
                <w:kern w:val="0"/>
                <w:szCs w:val="21"/>
              </w:rPr>
              <w:t>质勘查业</w:t>
            </w:r>
            <w:r>
              <w:rPr>
                <w:rFonts w:hint="eastAsia" w:eastAsia="仿宋_GB2312"/>
                <w:color w:val="000000"/>
                <w:kern w:val="0"/>
                <w:szCs w:val="21"/>
              </w:rPr>
              <w:t>、生</w:t>
            </w:r>
            <w:r>
              <w:rPr>
                <w:rFonts w:eastAsia="仿宋_GB2312"/>
                <w:color w:val="000000"/>
                <w:kern w:val="0"/>
                <w:szCs w:val="21"/>
              </w:rPr>
              <w:t>态环境业</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参</w:t>
            </w:r>
            <w:r>
              <w:rPr>
                <w:rFonts w:eastAsia="仿宋_GB2312"/>
                <w:color w:val="000000"/>
                <w:kern w:val="0"/>
                <w:szCs w:val="21"/>
              </w:rPr>
              <w:t>与地灾防治工作</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参</w:t>
            </w:r>
            <w:r>
              <w:rPr>
                <w:rFonts w:eastAsia="仿宋_GB2312"/>
                <w:color w:val="000000"/>
                <w:kern w:val="0"/>
                <w:szCs w:val="21"/>
              </w:rPr>
              <w:t>与贵州地灾</w:t>
            </w:r>
            <w:r>
              <w:rPr>
                <w:rFonts w:hint="eastAsia" w:eastAsia="仿宋_GB2312"/>
                <w:color w:val="000000"/>
                <w:kern w:val="0"/>
                <w:szCs w:val="21"/>
              </w:rPr>
              <w:t>救援</w:t>
            </w:r>
            <w:r>
              <w:rPr>
                <w:rFonts w:eastAsia="仿宋_GB2312"/>
                <w:color w:val="000000"/>
                <w:kern w:val="0"/>
                <w:szCs w:val="21"/>
              </w:rPr>
              <w:t>项目</w:t>
            </w: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center"/>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生态效</w:t>
            </w:r>
          </w:p>
          <w:p>
            <w:pPr>
              <w:widowControl/>
              <w:spacing w:line="300" w:lineRule="exact"/>
              <w:ind/>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涟</w:t>
            </w:r>
            <w:r>
              <w:rPr>
                <w:rFonts w:eastAsia="仿宋_GB2312"/>
                <w:color w:val="000000"/>
                <w:kern w:val="0"/>
                <w:szCs w:val="21"/>
              </w:rPr>
              <w:t>源国情调与</w:t>
            </w:r>
            <w:r>
              <w:rPr>
                <w:rFonts w:hint="eastAsia" w:eastAsia="仿宋_GB2312"/>
                <w:color w:val="000000"/>
                <w:kern w:val="0"/>
                <w:szCs w:val="21"/>
              </w:rPr>
              <w:t>衡南</w:t>
            </w:r>
            <w:r>
              <w:rPr>
                <w:rFonts w:eastAsia="仿宋_GB2312"/>
                <w:color w:val="000000"/>
                <w:kern w:val="0"/>
                <w:szCs w:val="21"/>
              </w:rPr>
              <w:t>地灾项目</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完</w:t>
            </w:r>
            <w:r>
              <w:rPr>
                <w:rFonts w:eastAsia="仿宋_GB2312"/>
                <w:color w:val="000000"/>
                <w:kern w:val="0"/>
                <w:szCs w:val="21"/>
              </w:rPr>
              <w:t>成所</w:t>
            </w:r>
            <w:r>
              <w:rPr>
                <w:rFonts w:hint="eastAsia" w:eastAsia="仿宋_GB2312"/>
                <w:color w:val="000000"/>
                <w:kern w:val="0"/>
                <w:szCs w:val="21"/>
              </w:rPr>
              <w:t>有调</w:t>
            </w:r>
            <w:r>
              <w:rPr>
                <w:rFonts w:eastAsia="仿宋_GB2312"/>
                <w:color w:val="000000"/>
                <w:kern w:val="0"/>
                <w:szCs w:val="21"/>
              </w:rPr>
              <w:t>查与地灾相关工作</w:t>
            </w:r>
            <w:r>
              <w:rPr>
                <w:rFonts w:hint="eastAsia" w:eastAsia="仿宋_GB2312"/>
                <w:color w:val="000000"/>
                <w:kern w:val="0"/>
                <w:szCs w:val="21"/>
              </w:rPr>
              <w:t>，使地质灾害发生率及生命财产损失有明显降低，人与自然进一步和谐</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2020年</w:t>
            </w:r>
            <w:r>
              <w:rPr>
                <w:rFonts w:eastAsia="仿宋_GB2312"/>
                <w:color w:val="000000"/>
                <w:kern w:val="0"/>
                <w:szCs w:val="21"/>
              </w:rPr>
              <w:t>全面完成</w:t>
            </w:r>
            <w:r>
              <w:rPr>
                <w:rFonts w:hint="eastAsia" w:eastAsia="仿宋_GB2312"/>
                <w:color w:val="000000"/>
                <w:kern w:val="0"/>
                <w:szCs w:val="21"/>
              </w:rPr>
              <w:t>2个</w:t>
            </w:r>
            <w:r>
              <w:rPr>
                <w:rFonts w:eastAsia="仿宋_GB2312"/>
                <w:color w:val="000000"/>
                <w:kern w:val="0"/>
                <w:szCs w:val="21"/>
              </w:rPr>
              <w:t>项目</w:t>
            </w:r>
            <w:r>
              <w:rPr>
                <w:rFonts w:hint="eastAsia" w:eastAsia="仿宋_GB2312"/>
                <w:color w:val="000000"/>
                <w:kern w:val="0"/>
                <w:szCs w:val="21"/>
              </w:rPr>
              <w:t>相</w:t>
            </w:r>
            <w:r>
              <w:rPr>
                <w:rFonts w:eastAsia="仿宋_GB2312"/>
                <w:color w:val="000000"/>
                <w:kern w:val="0"/>
                <w:szCs w:val="21"/>
              </w:rPr>
              <w:t>关指标</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952" w:type="dxa"/>
            <w:vMerge w:val="continue"/>
            <w:vAlign w:val="center"/>
          </w:tcPr>
          <w:p>
            <w:pPr>
              <w:widowControl/>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480"/>
          <w:jc w:val="center"/>
        </w:trPr>
        <w:tc>
          <w:tcPr>
            <w:tcW w:w="1080"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绩</w:t>
            </w:r>
          </w:p>
          <w:p>
            <w:pPr>
              <w:widowControl/>
              <w:spacing w:line="300" w:lineRule="exact"/>
              <w:ind/>
              <w:jc w:val="center"/>
              <w:rPr>
                <w:rFonts w:eastAsia="仿宋_GB2312"/>
                <w:color w:val="000000"/>
                <w:kern w:val="0"/>
                <w:szCs w:val="21"/>
              </w:rPr>
            </w:pPr>
            <w:r>
              <w:rPr>
                <w:rFonts w:hint="eastAsia" w:eastAsia="仿宋_GB2312"/>
                <w:color w:val="000000"/>
                <w:kern w:val="0"/>
                <w:szCs w:val="21"/>
              </w:rPr>
              <w:t>效</w:t>
            </w:r>
          </w:p>
          <w:p>
            <w:pPr>
              <w:widowControl/>
              <w:spacing w:line="300" w:lineRule="exact"/>
              <w:ind/>
              <w:jc w:val="center"/>
              <w:rPr>
                <w:rFonts w:eastAsia="仿宋_GB2312"/>
                <w:color w:val="000000"/>
                <w:kern w:val="0"/>
                <w:szCs w:val="21"/>
              </w:rPr>
            </w:pPr>
            <w:r>
              <w:rPr>
                <w:rFonts w:hint="eastAsia" w:eastAsia="仿宋_GB2312"/>
                <w:color w:val="000000"/>
                <w:kern w:val="0"/>
                <w:szCs w:val="21"/>
              </w:rPr>
              <w:t>指</w:t>
            </w:r>
          </w:p>
          <w:p>
            <w:pPr>
              <w:widowControl/>
              <w:spacing w:line="300" w:lineRule="exact"/>
              <w:ind/>
              <w:jc w:val="center"/>
              <w:rPr>
                <w:rFonts w:eastAsia="仿宋_GB2312"/>
                <w:color w:val="000000"/>
                <w:kern w:val="0"/>
                <w:szCs w:val="21"/>
              </w:rPr>
            </w:pPr>
            <w:r>
              <w:rPr>
                <w:rFonts w:hint="eastAsia" w:eastAsia="仿宋_GB2312"/>
                <w:color w:val="000000"/>
                <w:kern w:val="0"/>
                <w:szCs w:val="21"/>
              </w:rPr>
              <w:t>标</w:t>
            </w:r>
          </w:p>
        </w:tc>
        <w:tc>
          <w:tcPr>
            <w:tcW w:w="952" w:type="dxa"/>
            <w:vMerge w:val="restart"/>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270"/>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270"/>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widowControl/>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480"/>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满意度</w:t>
            </w:r>
          </w:p>
          <w:p>
            <w:pPr>
              <w:widowControl/>
              <w:spacing w:line="300" w:lineRule="exact"/>
              <w:ind/>
              <w:jc w:val="center"/>
              <w:rPr>
                <w:rFonts w:eastAsia="仿宋_GB2312"/>
                <w:color w:val="000000"/>
                <w:kern w:val="0"/>
                <w:szCs w:val="21"/>
              </w:rPr>
            </w:pPr>
            <w:r>
              <w:rPr>
                <w:rFonts w:hint="eastAsia" w:eastAsia="仿宋_GB2312"/>
                <w:color w:val="000000"/>
                <w:kern w:val="0"/>
                <w:szCs w:val="21"/>
              </w:rPr>
              <w:t>指标</w:t>
            </w:r>
          </w:p>
          <w:p>
            <w:pPr>
              <w:widowControl/>
              <w:spacing w:line="300" w:lineRule="exact"/>
              <w:ind/>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081" w:type="dxa"/>
            <w:vMerge w:val="restart"/>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通</w:t>
            </w:r>
            <w:r>
              <w:rPr>
                <w:rFonts w:eastAsia="仿宋_GB2312"/>
                <w:color w:val="000000"/>
                <w:kern w:val="0"/>
                <w:szCs w:val="21"/>
              </w:rPr>
              <w:t>过</w:t>
            </w:r>
            <w:r>
              <w:rPr>
                <w:rFonts w:hint="eastAsia" w:eastAsia="仿宋_GB2312"/>
                <w:color w:val="000000"/>
                <w:kern w:val="0"/>
                <w:szCs w:val="21"/>
              </w:rPr>
              <w:t>问卷、询</w:t>
            </w:r>
            <w:r>
              <w:rPr>
                <w:rFonts w:eastAsia="仿宋_GB2312"/>
                <w:color w:val="000000"/>
                <w:kern w:val="0"/>
                <w:szCs w:val="21"/>
              </w:rPr>
              <w:t>问等方</w:t>
            </w:r>
            <w:r>
              <w:rPr>
                <w:rFonts w:hint="eastAsia" w:eastAsia="仿宋_GB2312"/>
                <w:color w:val="000000"/>
                <w:kern w:val="0"/>
                <w:szCs w:val="21"/>
              </w:rPr>
              <w:t>式</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80%</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270"/>
          <w:jc w:val="center"/>
        </w:trPr>
        <w:tc>
          <w:tcPr>
            <w:tcW w:w="1080" w:type="dxa"/>
            <w:vMerge w:val="continue"/>
            <w:vAlign w:val="center"/>
          </w:tcPr>
          <w:p>
            <w:pPr>
              <w:spacing w:line="300" w:lineRule="exact"/>
              <w:jc w:val="left"/>
              <w:rPr>
                <w:rFonts w:eastAsia="仿宋_GB2312"/>
                <w:color w:val="000000"/>
                <w:kern w:val="0"/>
                <w:szCs w:val="21"/>
              </w:rPr>
            </w:pPr>
          </w:p>
        </w:tc>
        <w:tc>
          <w:tcPr>
            <w:tcW w:w="952" w:type="dxa"/>
            <w:vMerge w:val="continue"/>
            <w:vAlign w:val="center"/>
          </w:tcPr>
          <w:p>
            <w:pPr>
              <w:spacing w:line="300" w:lineRule="exact"/>
              <w:jc w:val="left"/>
              <w:rPr>
                <w:rFonts w:eastAsia="仿宋_GB2312"/>
                <w:color w:val="000000"/>
                <w:kern w:val="0"/>
                <w:szCs w:val="21"/>
              </w:rPr>
            </w:pPr>
          </w:p>
        </w:tc>
        <w:tc>
          <w:tcPr>
            <w:tcW w:w="1081" w:type="dxa"/>
            <w:vMerge w:val="continue"/>
            <w:vAlign w:val="center"/>
          </w:tcPr>
          <w:p>
            <w:pPr>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270"/>
          <w:jc w:val="center"/>
        </w:trPr>
        <w:tc>
          <w:tcPr>
            <w:tcW w:w="1080" w:type="dxa"/>
            <w:vMerge w:val="continue"/>
            <w:vAlign w:val="center"/>
          </w:tcPr>
          <w:p>
            <w:pPr>
              <w:widowControl/>
              <w:spacing w:line="300" w:lineRule="exact"/>
              <w:jc w:val="left"/>
              <w:rPr>
                <w:rFonts w:eastAsia="仿宋_GB2312"/>
                <w:color w:val="000000"/>
                <w:kern w:val="0"/>
                <w:szCs w:val="21"/>
              </w:rPr>
            </w:pPr>
          </w:p>
        </w:tc>
        <w:tc>
          <w:tcPr>
            <w:tcW w:w="952" w:type="dxa"/>
            <w:vMerge w:val="continue"/>
            <w:vAlign w:val="center"/>
          </w:tcPr>
          <w:p>
            <w:pPr>
              <w:widowControl/>
              <w:spacing w:line="300" w:lineRule="exact"/>
              <w:jc w:val="left"/>
              <w:rPr>
                <w:rFonts w:eastAsia="仿宋_GB2312"/>
                <w:color w:val="000000"/>
                <w:kern w:val="0"/>
                <w:szCs w:val="21"/>
              </w:rPr>
            </w:pPr>
          </w:p>
        </w:tc>
        <w:tc>
          <w:tcPr>
            <w:tcW w:w="1081" w:type="dxa"/>
            <w:vMerge w:val="continue"/>
            <w:vAlign w:val="center"/>
          </w:tcPr>
          <w:p>
            <w:pPr>
              <w:widowControl/>
              <w:spacing w:line="300" w:lineRule="exact"/>
              <w:jc w:val="left"/>
              <w:rPr>
                <w:rFonts w:eastAsia="仿宋_GB2312"/>
                <w:color w:val="000000"/>
                <w:kern w:val="0"/>
                <w:szCs w:val="21"/>
              </w:rPr>
            </w:pPr>
          </w:p>
        </w:tc>
        <w:tc>
          <w:tcPr>
            <w:tcW w:w="1351" w:type="dxa"/>
            <w:gridSpan w:val="2"/>
            <w:vAlign w:val="center"/>
          </w:tcPr>
          <w:p>
            <w:pPr>
              <w:widowControl/>
              <w:spacing w:line="300" w:lineRule="exact"/>
              <w:ind/>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r>
        <w:trPr>
          <w:wBefore/>
          <w:trHeight w:val="427"/>
          <w:jc w:val="center"/>
        </w:trPr>
        <w:tc>
          <w:tcPr>
            <w:tcW w:w="6940" w:type="dxa"/>
            <w:gridSpan w:val="7"/>
            <w:vAlign w:val="center"/>
          </w:tcPr>
          <w:p>
            <w:pPr>
              <w:widowControl/>
              <w:spacing w:line="300" w:lineRule="exact"/>
              <w:ind/>
              <w:jc w:val="center"/>
              <w:rPr>
                <w:rFonts w:eastAsia="仿宋_GB2312"/>
                <w:color w:val="000000"/>
                <w:kern w:val="0"/>
                <w:szCs w:val="21"/>
              </w:rPr>
            </w:pPr>
            <w:r>
              <w:rPr>
                <w:rFonts w:hint="eastAsia" w:eastAsia="仿宋_GB2312"/>
                <w:color w:val="000000"/>
                <w:kern w:val="0"/>
                <w:szCs w:val="21"/>
              </w:rPr>
              <w:t>总分</w:t>
            </w:r>
          </w:p>
        </w:tc>
        <w:tc>
          <w:tcPr>
            <w:tcW w:w="709" w:type="dxa"/>
            <w:vAlign w:val="center"/>
          </w:tcPr>
          <w:p>
            <w:pPr>
              <w:widowControl/>
              <w:spacing w:line="300" w:lineRule="exact"/>
              <w:ind/>
              <w:jc w:val="center"/>
              <w:rPr>
                <w:rFonts w:eastAsia="仿宋_GB2312"/>
                <w:color w:val="000000"/>
                <w:kern w:val="0"/>
                <w:szCs w:val="21"/>
              </w:rPr>
            </w:pPr>
            <w:r>
              <w:rPr>
                <w:rFonts w:eastAsia="仿宋_GB2312"/>
                <w:color w:val="000000"/>
                <w:kern w:val="0"/>
                <w:szCs w:val="21"/>
              </w:rPr>
              <w:t>100</w:t>
            </w:r>
          </w:p>
        </w:tc>
        <w:tc>
          <w:tcPr>
            <w:tcW w:w="99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88.5</w:t>
            </w:r>
          </w:p>
        </w:tc>
        <w:tc>
          <w:tcPr>
            <w:tcW w:w="1352" w:type="dxa"/>
            <w:vAlign w:val="center"/>
          </w:tcPr>
          <w:p>
            <w:pPr>
              <w:widowControl/>
              <w:spacing w:line="300" w:lineRule="exact"/>
              <w:ind/>
              <w:jc w:val="left"/>
              <w:rPr>
                <w:rFonts w:eastAsia="仿宋_GB2312"/>
                <w:color w:val="000000"/>
                <w:kern w:val="0"/>
                <w:szCs w:val="21"/>
              </w:rPr>
            </w:pPr>
            <w:r>
              <w:rPr>
                <w:rFonts w:hint="eastAsia" w:eastAsia="仿宋_GB2312"/>
                <w:color w:val="000000"/>
                <w:kern w:val="0"/>
                <w:szCs w:val="21"/>
              </w:rPr>
              <w:t>　</w:t>
            </w:r>
          </w:p>
        </w:tc>
      </w:tr>
    </w:tbl>
    <w:p>
      <w:pPr>
        <w:widowControl/>
        <w:spacing w:line="600" w:lineRule="exact"/>
        <w:ind w:firstLine="420" w:firstLineChars="200"/>
        <w:jc w:val="left"/>
        <w:rPr>
          <w:rFonts w:eastAsia="黑体"/>
          <w:sz w:val="32"/>
          <w:szCs w:val="32"/>
        </w:rPr>
      </w:pPr>
      <w:r>
        <w:rPr>
          <w:rFonts w:hint="eastAsia" w:eastAsia="仿宋_GB2312"/>
          <w:kern w:val="0"/>
          <w:szCs w:val="21"/>
        </w:rPr>
        <w:t xml:space="preserve">填表人： </w:t>
      </w:r>
      <w:r>
        <w:rPr>
          <w:rFonts w:eastAsia="仿宋_GB2312"/>
          <w:kern w:val="0"/>
          <w:szCs w:val="21"/>
        </w:rPr>
        <w:t xml:space="preserve">    </w:t>
      </w:r>
      <w:r>
        <w:rPr>
          <w:rFonts w:hint="eastAsia" w:eastAsia="仿宋_GB2312"/>
          <w:kern w:val="0"/>
          <w:szCs w:val="21"/>
        </w:rPr>
        <w:t xml:space="preserve">填报日期： </w:t>
      </w:r>
      <w:r>
        <w:rPr>
          <w:rFonts w:eastAsia="仿宋_GB2312"/>
          <w:kern w:val="0"/>
          <w:szCs w:val="21"/>
        </w:rPr>
        <w:t xml:space="preserve">     </w:t>
      </w:r>
      <w:r>
        <w:rPr>
          <w:rFonts w:hint="eastAsia" w:eastAsia="仿宋_GB2312"/>
          <w:kern w:val="0"/>
          <w:szCs w:val="21"/>
        </w:rPr>
        <w:t xml:space="preserve">联系电话： </w:t>
      </w:r>
      <w:r>
        <w:rPr>
          <w:rFonts w:eastAsia="仿宋_GB2312"/>
          <w:kern w:val="0"/>
          <w:szCs w:val="21"/>
        </w:rPr>
        <w:t xml:space="preserve">          </w:t>
      </w:r>
      <w:r>
        <w:rPr>
          <w:rFonts w:hint="eastAsia" w:eastAsia="仿宋_GB2312"/>
          <w:kern w:val="0"/>
          <w:szCs w:val="21"/>
        </w:rPr>
        <w:t>单位负责人签字：</w:t>
      </w:r>
    </w:p>
    <w:p>
      <w:pPr>
        <w:ind w:firstLine="640" w:firstLineChars="200"/>
        <w:jc w:val="left"/>
        <w:rPr>
          <w:rFonts w:cs="黑体" w:asciiTheme="minorEastAsia" w:hAnsiTheme="minorEastAsia"/>
          <w:kern w:val="0"/>
          <w:sz w:val="32"/>
          <w:szCs w:val="32"/>
        </w:rPr>
      </w:pPr>
    </w:p>
    <w:sectPr w:rsidRPr="00B577BF" w:rsidR="00B577BF" w:rsidSect="00F606B7">
      <w:pgSz w:w="11906" w:h="16838"/>
      <w:pgMar w:top="1418" w:right="1701" w:bottom="1418" w:left="1701" w:header="851" w:footer="992" w:gutter="0"/>
      <w:cols w:space="425"/>
      <w:docGrid w:type="linesAndChars" w:linePitch="312"/>
    </w:sectPr>
  </w:body>
</w:document>
</file>

<file path=word/endnotes.xml><?xml version="1.0" encoding="utf-8"?>
<w:endnotes xmlns:w="http://schemas.openxmlformats.org/wordprocessingml/2006/main">
  <w:endnote w:type="continuationSeparator" w:id="1">
    <w:p>
      <w:pPr>
        <w:rPr/>
      </w:pPr>
      <w:r>
        <w:rPr/>
        <w:continuationSeparator/>
      </w:r>
    </w:p>
  </w:endnote>
  <w:endnote w:type="separator" w:id="0">
    <w:p>
      <w:pPr>
        <w:rPr/>
      </w:pPr>
      <w:r>
        <w:rPr/>
        <w:separator/>
      </w:r>
    </w:p>
  </w:endnote>
</w:endnotes>
</file>

<file path=word/fontTable.xml><?xml version="1.0" encoding="utf-8"?>
<w:fonts xmlns:w="http://schemas.openxmlformats.org/wordprocessingml/2006/main">
  <w:font w:name="仿宋">
    <w:panose1 w:val="02010609060101010101"/>
    <w:charset w:val="86" w:characterSet="ISO-8859-1"/>
    <w:family w:val="modern"/>
    <w:pitch w:val="fixed"/>
    <w:sig w:usb0="800002BF" w:usb1="38CF7CFA" w:usb2="00000016" w:usb3="00000000" w:csb0="00040001" w:csb1="00000000"/>
  </w:font>
  <w:font w:name="黑体">
    <w:altName w:val="SimHei"/>
    <w:panose1 w:val="02010609060101010101"/>
    <w:charset w:val="86" w:characterSet="ISO-8859-1"/>
    <w:family w:val="modern"/>
    <w:pitch w:val="fixed"/>
    <w:sig w:usb0="800002BF" w:usb1="38CF7CFA" w:usb2="00000016" w:usb3="00000000" w:csb0="00040001" w:csb1="00000000"/>
  </w:font>
  <w:font w:name="方正小标宋_GBK">
    <w:altName w:val="微软雅黑"/>
    <w:charset w:val="86" w:characterSet="ISO-8859-1"/>
    <w:family w:val="script"/>
    <w:pitch w:val="default"/>
    <w:sig w:usb0="00000000" w:usb1="00000000" w:usb2="00000010" w:usb3="00000000" w:csb0="00040000" w:csb1="00000000"/>
  </w:font>
  <w:font w:name="Calibri">
    <w:panose1 w:val="020F0502020204030204"/>
    <w:charset w:val="00" w:characterSet="ISO-8859-1"/>
    <w:family w:val="swiss"/>
    <w:pitch w:val="variable"/>
    <w:sig w:usb0="E00002FF" w:usb1="4000ACFF" w:usb2="00000001" w:usb3="00000000" w:csb0="0000019F" w:csb1="00000000"/>
  </w:font>
  <w:font w:name="仿宋_GB2312">
    <w:altName w:val="仿宋"/>
    <w:charset w:val="86" w:characterSet="ISO-8859-1"/>
    <w:family w:val="modern"/>
    <w:pitch w:val="fixed"/>
    <w:sig w:usb0="00000001" w:usb1="080E0000" w:usb2="00000010" w:usb3="00000000" w:csb0="00040000" w:csb1="00000000"/>
  </w:font>
  <w:font w:name="Arial">
    <w:panose1 w:val="020B0604020202020204"/>
    <w:charset w:val="00" w:characterSet="ISO-8859-1"/>
    <w:family w:val="swiss"/>
    <w:pitch w:val="variable"/>
    <w:sig w:usb0="E0002AFF" w:usb1="C0007843" w:usb2="00000009" w:usb3="00000000" w:csb0="000001FF" w:csb1="00000000"/>
  </w:font>
  <w:font w:name="Cambria">
    <w:panose1 w:val="02040503050406030204"/>
    <w:charset w:val="00" w:characterSet="ISO-8859-1"/>
    <w:family w:val="roman"/>
    <w:pitch w:val="variable"/>
    <w:sig w:usb0="E00002FF" w:usb1="400004FF" w:usb2="00000000" w:usb3="00000000" w:csb0="0000019F" w:csb1="00000000"/>
  </w:font>
  <w:font w:name="Times New Roman">
    <w:panose1 w:val="02020603050405020304"/>
    <w:charset w:val="00" w:characterSet="ISO-8859-1"/>
    <w:family w:val="roman"/>
    <w:pitch w:val="variable"/>
    <w:sig w:usb0="E0002AFF" w:usb1="C0007841"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s>
</file>

<file path=word/footnotes.xml><?xml version="1.0" encoding="utf-8"?>
<w:footnotes xmlns:w="http://schemas.openxmlformats.org/wordprocessingml/2006/main">
  <w:footnote w:type="continuationSeparator" w:id="0">
    <w:p>
      <w:pPr>
        <w:rPr/>
      </w:pPr>
      <w:r>
        <w:rPr/>
        <w:continuationSeparator/>
      </w:r>
    </w:p>
  </w:footnote>
  <w:footnote w:type="separator" w:id="1">
    <w:p>
      <w:pPr>
        <w:rPr/>
      </w:pPr>
      <w:r>
        <w:rPr/>
        <w:separator/>
      </w:r>
    </w:p>
  </w:footnote>
</w:footnotes>
</file>

<file path=word/numbering.xml><?xml version="1.0" encoding="utf-8"?>
<w:numbering xmlns:w="http://schemas.openxmlformats.org/wordprocessingml/2006/main">
  <w:abstractNum w:abstractNumId="1">
    <w:nsid w:val="373518C1"/>
    <w:multiLevelType w:val="hybridMultilevel"/>
    <w:tmpl w:val="C756DA68"/>
    <w:lvl w:ilvl="2" w:tplc="0409001B" w:tentative="true">
      <w:start w:val="1"/>
      <w:numFmt w:val="lowerRoman"/>
      <w:lvlText w:val="%3."/>
      <w:lvlJc w:val="right"/>
      <w:pPr>
        <w:ind w:left="1260" w:hanging="420"/>
      </w:pPr>
    </w:lvl>
    <w:lvl w:ilvl="3" w:tplc="0409000F" w:tentative="true">
      <w:start w:val="1"/>
      <w:numFmt w:val="decimal"/>
      <w:lvlText w:val="%4."/>
      <w:lvlJc w:val="left"/>
      <w:pPr>
        <w:ind w:left="1680" w:hanging="420"/>
      </w:pPr>
    </w:lvl>
    <w:lvl w:ilvl="4" w:tplc="04090019" w:tentative="true">
      <w:start w:val="1"/>
      <w:numFmt w:val="lowerLetter"/>
      <w:lvlText w:val="%5)"/>
      <w:lvlJc w:val="left"/>
      <w:pPr>
        <w:ind w:left="2100" w:hanging="420"/>
      </w:pPr>
    </w:lvl>
    <w:lvl w:ilvl="6" w:tplc="0409000F" w:tentative="true">
      <w:start w:val="1"/>
      <w:numFmt w:val="decimal"/>
      <w:lvlText w:val="%7."/>
      <w:lvlJc w:val="left"/>
      <w:pPr>
        <w:ind w:left="2940" w:hanging="420"/>
      </w:pPr>
    </w:lvl>
    <w:lvl w:ilvl="5" w:tplc="0409001B" w:tentative="true">
      <w:start w:val="1"/>
      <w:numFmt w:val="lowerRoman"/>
      <w:lvlText w:val="%6."/>
      <w:lvlJc w:val="right"/>
      <w:pPr>
        <w:ind w:left="2520" w:hanging="420"/>
      </w:pPr>
    </w:lvl>
    <w:lvl w:ilvl="7" w:tplc="04090019" w:tentative="true">
      <w:start w:val="1"/>
      <w:numFmt w:val="lowerLetter"/>
      <w:lvlText w:val="%8)"/>
      <w:lvlJc w:val="left"/>
      <w:pPr>
        <w:ind w:left="3360" w:hanging="420"/>
      </w:pPr>
    </w:lvl>
    <w:lvl w:ilvl="8" w:tplc="0409001B" w:tentative="true">
      <w:start w:val="1"/>
      <w:numFmt w:val="lowerRoman"/>
      <w:lvlText w:val="%9."/>
      <w:lvlJc w:val="right"/>
      <w:pPr>
        <w:ind w:left="3780" w:hanging="420"/>
      </w:pPr>
    </w:lvl>
    <w:lvl w:ilvl="1" w:tplc="04090019" w:tentative="true">
      <w:start w:val="1"/>
      <w:numFmt w:val="lowerLetter"/>
      <w:lvlText w:val="%2)"/>
      <w:lvlJc w:val="left"/>
      <w:pPr>
        <w:ind w:left="840" w:hanging="420"/>
      </w:pPr>
    </w:lvl>
    <w:lvl w:ilvl="0" w:tplc="5E3226EE">
      <w:start w:val="1"/>
      <w:numFmt w:val="none"/>
      <w:lvlText w:val="一、"/>
      <w:lvlJc w:val="left"/>
      <w:pPr>
        <w:tabs/>
        <w:ind w:left="720" w:hanging="720" w:firstLineChars="200"/>
      </w:pPr>
      <w:rPr>
        <w:rFonts w:hint="default"/>
      </w:rPr>
    </w:lvl>
  </w:abstractNum>
  <w:num w:numId="1">
    <w:abstractNumId w:val="1"/>
  </w:num>
</w:numbering>
</file>

<file path=word/settings.xml><?xml version="1.0" encoding="utf-8"?>
<w:settings xmlns:w="http://schemas.openxmlformats.org/wordprocessingml/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506F9"/>
    <w:rsid w:val="000106FB"/>
    <w:rsid w:val="00013791"/>
    <w:rsid w:val="00016927"/>
    <w:rsid w:val="0002229B"/>
    <w:rsid w:val="00023253"/>
    <w:rsid w:val="000273BD"/>
    <w:rsid w:val="0003297B"/>
    <w:rsid w:val="000415B7"/>
    <w:rsid w:val="00041E3F"/>
    <w:rsid w:val="000459EF"/>
    <w:rsid w:val="000544D3"/>
    <w:rsid w:val="00055DAA"/>
    <w:rsid w:val="00061F7B"/>
    <w:rsid w:val="000658A3"/>
    <w:rsid w:val="00071221"/>
    <w:rsid w:val="00071975"/>
    <w:rsid w:val="00074155"/>
    <w:rsid w:val="00082B6A"/>
    <w:rsid w:val="000A3F69"/>
    <w:rsid w:val="000A5C73"/>
    <w:rsid w:val="000A5DFF"/>
    <w:rsid w:val="000B691B"/>
    <w:rsid w:val="000D203B"/>
    <w:rsid w:val="000E5964"/>
    <w:rsid w:val="000F034E"/>
    <w:rsid w:val="00101D85"/>
    <w:rsid w:val="00101E95"/>
    <w:rsid w:val="00103957"/>
    <w:rsid w:val="00107DCA"/>
    <w:rsid w:val="00115499"/>
    <w:rsid w:val="001318BD"/>
    <w:rsid w:val="00135DC6"/>
    <w:rsid w:val="00140368"/>
    <w:rsid w:val="00142397"/>
    <w:rsid w:val="00145F7A"/>
    <w:rsid w:val="00152C6D"/>
    <w:rsid w:val="00160AC2"/>
    <w:rsid w:val="00162D39"/>
    <w:rsid w:val="001670FD"/>
    <w:rsid w:val="001678BD"/>
    <w:rsid w:val="0017452D"/>
    <w:rsid w:val="00176106"/>
    <w:rsid w:val="00176E7C"/>
    <w:rsid w:val="00184C4F"/>
    <w:rsid w:val="00197CAD"/>
    <w:rsid w:val="001A67DB"/>
    <w:rsid w:val="001A7CE7"/>
    <w:rsid w:val="001B354F"/>
    <w:rsid w:val="001B4F1F"/>
    <w:rsid w:val="001B5BF5"/>
    <w:rsid w:val="001C3C29"/>
    <w:rsid w:val="001D51E5"/>
    <w:rsid w:val="001E080D"/>
    <w:rsid w:val="001E3120"/>
    <w:rsid w:val="001E53D0"/>
    <w:rsid w:val="001E5715"/>
    <w:rsid w:val="001F0C3B"/>
    <w:rsid w:val="00202C82"/>
    <w:rsid w:val="0020537C"/>
    <w:rsid w:val="00211881"/>
    <w:rsid w:val="00214427"/>
    <w:rsid w:val="00226CB7"/>
    <w:rsid w:val="002327C3"/>
    <w:rsid w:val="002335B9"/>
    <w:rsid w:val="00236F76"/>
    <w:rsid w:val="002469EF"/>
    <w:rsid w:val="00252ABC"/>
    <w:rsid w:val="00264552"/>
    <w:rsid w:val="00264EF9"/>
    <w:rsid w:val="00265724"/>
    <w:rsid w:val="0027426B"/>
    <w:rsid w:val="002832CB"/>
    <w:rsid w:val="002855DF"/>
    <w:rsid w:val="00294437"/>
    <w:rsid w:val="002B36CB"/>
    <w:rsid w:val="002C1212"/>
    <w:rsid w:val="002C1BBD"/>
    <w:rsid w:val="002D31B3"/>
    <w:rsid w:val="002D50C4"/>
    <w:rsid w:val="002E0A30"/>
    <w:rsid w:val="002E5060"/>
    <w:rsid w:val="002F5766"/>
    <w:rsid w:val="002F6A88"/>
    <w:rsid w:val="00310809"/>
    <w:rsid w:val="0031172D"/>
    <w:rsid w:val="003130C4"/>
    <w:rsid w:val="00316C4B"/>
    <w:rsid w:val="0032192B"/>
    <w:rsid w:val="00347569"/>
    <w:rsid w:val="003479BD"/>
    <w:rsid w:val="00353B8C"/>
    <w:rsid w:val="003548A0"/>
    <w:rsid w:val="0037197D"/>
    <w:rsid w:val="003765F7"/>
    <w:rsid w:val="003768D5"/>
    <w:rsid w:val="00376B3B"/>
    <w:rsid w:val="003B66AF"/>
    <w:rsid w:val="003B7668"/>
    <w:rsid w:val="003C3F62"/>
    <w:rsid w:val="003C47E6"/>
    <w:rsid w:val="003C4EDA"/>
    <w:rsid w:val="003C4FC2"/>
    <w:rsid w:val="003D6482"/>
    <w:rsid w:val="003D7A91"/>
    <w:rsid w:val="00404596"/>
    <w:rsid w:val="00416E61"/>
    <w:rsid w:val="0041735A"/>
    <w:rsid w:val="00417848"/>
    <w:rsid w:val="0042790C"/>
    <w:rsid w:val="00437ED0"/>
    <w:rsid w:val="004506F9"/>
    <w:rsid w:val="004717A2"/>
    <w:rsid w:val="00471FA7"/>
    <w:rsid w:val="00471FC8"/>
    <w:rsid w:val="00473DF3"/>
    <w:rsid w:val="00483165"/>
    <w:rsid w:val="0048335D"/>
    <w:rsid w:val="00487911"/>
    <w:rsid w:val="00491741"/>
    <w:rsid w:val="0049184E"/>
    <w:rsid w:val="004A067B"/>
    <w:rsid w:val="004A74EF"/>
    <w:rsid w:val="004D66FD"/>
    <w:rsid w:val="004E1600"/>
    <w:rsid w:val="004E1F17"/>
    <w:rsid w:val="004E5277"/>
    <w:rsid w:val="004E723A"/>
    <w:rsid w:val="0050097E"/>
    <w:rsid w:val="00500E5F"/>
    <w:rsid w:val="00501949"/>
    <w:rsid w:val="005024FD"/>
    <w:rsid w:val="00503721"/>
    <w:rsid w:val="005122EF"/>
    <w:rsid w:val="0051441A"/>
    <w:rsid w:val="00517C33"/>
    <w:rsid w:val="0052243B"/>
    <w:rsid w:val="00523644"/>
    <w:rsid w:val="00526B15"/>
    <w:rsid w:val="0053637D"/>
    <w:rsid w:val="0054069E"/>
    <w:rsid w:val="00544866"/>
    <w:rsid w:val="005465A1"/>
    <w:rsid w:val="0054734C"/>
    <w:rsid w:val="005548F0"/>
    <w:rsid w:val="005763D5"/>
    <w:rsid w:val="005767CC"/>
    <w:rsid w:val="0058605B"/>
    <w:rsid w:val="00586250"/>
    <w:rsid w:val="00590B18"/>
    <w:rsid w:val="00590D9F"/>
    <w:rsid w:val="00595D26"/>
    <w:rsid w:val="005A05DE"/>
    <w:rsid w:val="005A51C5"/>
    <w:rsid w:val="005A6F5C"/>
    <w:rsid w:val="005A74E6"/>
    <w:rsid w:val="005B0E26"/>
    <w:rsid w:val="005B404E"/>
    <w:rsid w:val="005B6D44"/>
    <w:rsid w:val="005B6FAD"/>
    <w:rsid w:val="005C3782"/>
    <w:rsid w:val="005D1578"/>
    <w:rsid w:val="005D4D55"/>
    <w:rsid w:val="005E2CFB"/>
    <w:rsid w:val="005E6A75"/>
    <w:rsid w:val="005F3D1C"/>
    <w:rsid w:val="006021C4"/>
    <w:rsid w:val="00602463"/>
    <w:rsid w:val="00606EE1"/>
    <w:rsid w:val="00612204"/>
    <w:rsid w:val="00623625"/>
    <w:rsid w:val="0062378F"/>
    <w:rsid w:val="00623EAB"/>
    <w:rsid w:val="00633B33"/>
    <w:rsid w:val="00633F1B"/>
    <w:rsid w:val="00635304"/>
    <w:rsid w:val="006404F6"/>
    <w:rsid w:val="00641842"/>
    <w:rsid w:val="00645C12"/>
    <w:rsid w:val="00651BAD"/>
    <w:rsid w:val="00651EEC"/>
    <w:rsid w:val="00654D9E"/>
    <w:rsid w:val="006652C4"/>
    <w:rsid w:val="00665745"/>
    <w:rsid w:val="00665781"/>
    <w:rsid w:val="006700D7"/>
    <w:rsid w:val="006707E2"/>
    <w:rsid w:val="006848D5"/>
    <w:rsid w:val="00686673"/>
    <w:rsid w:val="00691E8C"/>
    <w:rsid w:val="006938D4"/>
    <w:rsid w:val="00694752"/>
    <w:rsid w:val="006A177C"/>
    <w:rsid w:val="006A22C4"/>
    <w:rsid w:val="006A351B"/>
    <w:rsid w:val="006B0422"/>
    <w:rsid w:val="006B5BE5"/>
    <w:rsid w:val="006B6ACC"/>
    <w:rsid w:val="006B721F"/>
    <w:rsid w:val="006C187F"/>
    <w:rsid w:val="006C1B53"/>
    <w:rsid w:val="006D4F7C"/>
    <w:rsid w:val="006D7730"/>
    <w:rsid w:val="006E2FA9"/>
    <w:rsid w:val="006E5284"/>
    <w:rsid w:val="006F3EB5"/>
    <w:rsid w:val="00702E34"/>
    <w:rsid w:val="00704395"/>
    <w:rsid w:val="00704B54"/>
    <w:rsid w:val="00707ADB"/>
    <w:rsid w:val="00711C9F"/>
    <w:rsid w:val="00711E3E"/>
    <w:rsid w:val="00716FD4"/>
    <w:rsid w:val="00717621"/>
    <w:rsid w:val="00720FF1"/>
    <w:rsid w:val="0072263F"/>
    <w:rsid w:val="007249FC"/>
    <w:rsid w:val="00727A53"/>
    <w:rsid w:val="00731C2C"/>
    <w:rsid w:val="007339B4"/>
    <w:rsid w:val="007565D6"/>
    <w:rsid w:val="00762C3C"/>
    <w:rsid w:val="007706B1"/>
    <w:rsid w:val="00774D49"/>
    <w:rsid w:val="00786846"/>
    <w:rsid w:val="00786D38"/>
    <w:rsid w:val="00787B42"/>
    <w:rsid w:val="00790835"/>
    <w:rsid w:val="007A3D4C"/>
    <w:rsid w:val="007A57E7"/>
    <w:rsid w:val="007B579B"/>
    <w:rsid w:val="007C4539"/>
    <w:rsid w:val="007C476E"/>
    <w:rsid w:val="007C53DA"/>
    <w:rsid w:val="007C606B"/>
    <w:rsid w:val="007D2721"/>
    <w:rsid w:val="007D2CF0"/>
    <w:rsid w:val="007F3657"/>
    <w:rsid w:val="0080761A"/>
    <w:rsid w:val="00811091"/>
    <w:rsid w:val="008120FE"/>
    <w:rsid w:val="00812ED5"/>
    <w:rsid w:val="00820F66"/>
    <w:rsid w:val="00826D52"/>
    <w:rsid w:val="008277D9"/>
    <w:rsid w:val="0083351B"/>
    <w:rsid w:val="00841E8E"/>
    <w:rsid w:val="00843793"/>
    <w:rsid w:val="0084478C"/>
    <w:rsid w:val="00853C34"/>
    <w:rsid w:val="0086638C"/>
    <w:rsid w:val="00871A0D"/>
    <w:rsid w:val="00880B27"/>
    <w:rsid w:val="00883776"/>
    <w:rsid w:val="00885E99"/>
    <w:rsid w:val="00890C5F"/>
    <w:rsid w:val="008949B4"/>
    <w:rsid w:val="008A0F89"/>
    <w:rsid w:val="008A3E8D"/>
    <w:rsid w:val="008A43CE"/>
    <w:rsid w:val="008A46AF"/>
    <w:rsid w:val="008B0840"/>
    <w:rsid w:val="008B3ADE"/>
    <w:rsid w:val="008B7FE7"/>
    <w:rsid w:val="008C05CA"/>
    <w:rsid w:val="008D0F70"/>
    <w:rsid w:val="008F3664"/>
    <w:rsid w:val="008F3FA7"/>
    <w:rsid w:val="008F6F29"/>
    <w:rsid w:val="0090762A"/>
    <w:rsid w:val="00910570"/>
    <w:rsid w:val="00917948"/>
    <w:rsid w:val="009237C4"/>
    <w:rsid w:val="009242CC"/>
    <w:rsid w:val="00924C5C"/>
    <w:rsid w:val="00927D2C"/>
    <w:rsid w:val="00934F96"/>
    <w:rsid w:val="00940FDF"/>
    <w:rsid w:val="00944C48"/>
    <w:rsid w:val="00946234"/>
    <w:rsid w:val="00950252"/>
    <w:rsid w:val="009554AC"/>
    <w:rsid w:val="00965985"/>
    <w:rsid w:val="00967F5D"/>
    <w:rsid w:val="00995688"/>
    <w:rsid w:val="00996230"/>
    <w:rsid w:val="009A0F95"/>
    <w:rsid w:val="009A131A"/>
    <w:rsid w:val="009A3668"/>
    <w:rsid w:val="009B180C"/>
    <w:rsid w:val="009B3ADF"/>
    <w:rsid w:val="009B3CAB"/>
    <w:rsid w:val="009C3B52"/>
    <w:rsid w:val="009E6817"/>
    <w:rsid w:val="009E6E9A"/>
    <w:rsid w:val="009F06A1"/>
    <w:rsid w:val="00A017FE"/>
    <w:rsid w:val="00A01D2B"/>
    <w:rsid w:val="00A03414"/>
    <w:rsid w:val="00A0676E"/>
    <w:rsid w:val="00A27BAE"/>
    <w:rsid w:val="00A42218"/>
    <w:rsid w:val="00A44589"/>
    <w:rsid w:val="00A46BD9"/>
    <w:rsid w:val="00A54540"/>
    <w:rsid w:val="00A61B20"/>
    <w:rsid w:val="00A62359"/>
    <w:rsid w:val="00A70249"/>
    <w:rsid w:val="00A70B02"/>
    <w:rsid w:val="00A71252"/>
    <w:rsid w:val="00A71D9F"/>
    <w:rsid w:val="00A800AB"/>
    <w:rsid w:val="00A80857"/>
    <w:rsid w:val="00A81A25"/>
    <w:rsid w:val="00A92E9F"/>
    <w:rsid w:val="00AA49E9"/>
    <w:rsid w:val="00AC0594"/>
    <w:rsid w:val="00AD0423"/>
    <w:rsid w:val="00AD6731"/>
    <w:rsid w:val="00AE7539"/>
    <w:rsid w:val="00B03F39"/>
    <w:rsid w:val="00B05FCC"/>
    <w:rsid w:val="00B10BA8"/>
    <w:rsid w:val="00B22BA9"/>
    <w:rsid w:val="00B23002"/>
    <w:rsid w:val="00B2682A"/>
    <w:rsid w:val="00B30C3F"/>
    <w:rsid w:val="00B33BEA"/>
    <w:rsid w:val="00B5722F"/>
    <w:rsid w:val="00B577BF"/>
    <w:rsid w:val="00B57C9F"/>
    <w:rsid w:val="00B63572"/>
    <w:rsid w:val="00B63614"/>
    <w:rsid w:val="00B67895"/>
    <w:rsid w:val="00B728E8"/>
    <w:rsid w:val="00B73383"/>
    <w:rsid w:val="00B74AA6"/>
    <w:rsid w:val="00B823AD"/>
    <w:rsid w:val="00B845B3"/>
    <w:rsid w:val="00B85D8B"/>
    <w:rsid w:val="00B86A5E"/>
    <w:rsid w:val="00B9190D"/>
    <w:rsid w:val="00B91F98"/>
    <w:rsid w:val="00B945A7"/>
    <w:rsid w:val="00BA4FA0"/>
    <w:rsid w:val="00BB4A40"/>
    <w:rsid w:val="00BC65F6"/>
    <w:rsid w:val="00BC6DA7"/>
    <w:rsid w:val="00BD6C3E"/>
    <w:rsid w:val="00BE3674"/>
    <w:rsid w:val="00BF103D"/>
    <w:rsid w:val="00BF1326"/>
    <w:rsid w:val="00C01BE9"/>
    <w:rsid w:val="00C10681"/>
    <w:rsid w:val="00C17580"/>
    <w:rsid w:val="00C3049A"/>
    <w:rsid w:val="00C318EA"/>
    <w:rsid w:val="00C31B1E"/>
    <w:rsid w:val="00C3500C"/>
    <w:rsid w:val="00C47E79"/>
    <w:rsid w:val="00C76BA9"/>
    <w:rsid w:val="00C77645"/>
    <w:rsid w:val="00C77873"/>
    <w:rsid w:val="00CA5B0B"/>
    <w:rsid w:val="00CD3335"/>
    <w:rsid w:val="00CD5761"/>
    <w:rsid w:val="00CE04C3"/>
    <w:rsid w:val="00CE315A"/>
    <w:rsid w:val="00CE76A0"/>
    <w:rsid w:val="00CF071E"/>
    <w:rsid w:val="00D01774"/>
    <w:rsid w:val="00D12BB5"/>
    <w:rsid w:val="00D148C6"/>
    <w:rsid w:val="00D15D1C"/>
    <w:rsid w:val="00D17A8A"/>
    <w:rsid w:val="00D17B96"/>
    <w:rsid w:val="00D20167"/>
    <w:rsid w:val="00D351D6"/>
    <w:rsid w:val="00D36FD6"/>
    <w:rsid w:val="00D415BA"/>
    <w:rsid w:val="00D53337"/>
    <w:rsid w:val="00D644EE"/>
    <w:rsid w:val="00D67460"/>
    <w:rsid w:val="00D805A7"/>
    <w:rsid w:val="00D82425"/>
    <w:rsid w:val="00D8363B"/>
    <w:rsid w:val="00DA24FE"/>
    <w:rsid w:val="00DA6555"/>
    <w:rsid w:val="00DB1F41"/>
    <w:rsid w:val="00DB6575"/>
    <w:rsid w:val="00DC6418"/>
    <w:rsid w:val="00DD06FF"/>
    <w:rsid w:val="00DD5FE9"/>
    <w:rsid w:val="00DF6344"/>
    <w:rsid w:val="00DF643E"/>
    <w:rsid w:val="00E00C7A"/>
    <w:rsid w:val="00E229B8"/>
    <w:rsid w:val="00E32B4A"/>
    <w:rsid w:val="00E37D6C"/>
    <w:rsid w:val="00E452A9"/>
    <w:rsid w:val="00E55B68"/>
    <w:rsid w:val="00E62D74"/>
    <w:rsid w:val="00E67BE6"/>
    <w:rsid w:val="00E72490"/>
    <w:rsid w:val="00E76911"/>
    <w:rsid w:val="00E820A2"/>
    <w:rsid w:val="00E8683C"/>
    <w:rsid w:val="00EA10E8"/>
    <w:rsid w:val="00EA2B72"/>
    <w:rsid w:val="00EB1DE5"/>
    <w:rsid w:val="00EB67E9"/>
    <w:rsid w:val="00EC0587"/>
    <w:rsid w:val="00ED1182"/>
    <w:rsid w:val="00EE25A6"/>
    <w:rsid w:val="00EE5CD4"/>
    <w:rsid w:val="00EF1D80"/>
    <w:rsid w:val="00F1475D"/>
    <w:rsid w:val="00F148C2"/>
    <w:rsid w:val="00F2446E"/>
    <w:rsid w:val="00F24A87"/>
    <w:rsid w:val="00F26736"/>
    <w:rsid w:val="00F30829"/>
    <w:rsid w:val="00F45797"/>
    <w:rsid w:val="00F52FC2"/>
    <w:rsid w:val="00F606B7"/>
    <w:rsid w:val="00F61041"/>
    <w:rsid w:val="00F74360"/>
    <w:rsid w:val="00F84EB7"/>
    <w:rsid w:val="00F96C00"/>
    <w:rsid w:val="00FA1CD5"/>
    <w:rsid w:val="00FA2B9F"/>
    <w:rsid w:val="00FB462F"/>
    <w:rsid w:val="00FB67F7"/>
    <w:rsid w:val="00FC6FE3"/>
    <w:rsid w:val="00FD25B6"/>
    <w:rsid w:val="00FE16FA"/>
    <w:rsid w:val="00FE328A"/>
    <w:rsid w:val="00FE6269"/>
    <w:rsid w:val="00FE7379"/>
    <w:rsid w:val="00FF022B"/>
    <w:rsid w:val="00FF0B3B"/>
    <w:rsid w:val="00FF4ECC"/>
    <w:rsid w:val="00FF5CD6"/>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pPr>
        <w:tabs/>
        <w:snapToGrid/>
        <w:spacing/>
        <w:ind/>
      </w:pPr>
    </w:pPrDefault>
  </w:docDefaults>
  <w:latentStyles w:defLockedState="false" w:defUIPriority="99" w:defSemiHidden="true" w:defUnhideWhenUsed="true" w:defQFormat="false" w:count="267">
    <w:lsdException w:name="TOC Heading" w:uiPriority="39" w:qFormat="true"/>
    <w:lsdException w:name="Book Title" w:uiPriority="33" w:semiHidden="false" w:unhideWhenUsed="false" w:qFormat="true"/>
    <w:lsdException w:name="Subtle Emphasis" w:uiPriority="19" w:semiHidden="false" w:unhideWhenUsed="false" w:qFormat="true"/>
    <w:lsdException w:name="Light Grid" w:uiPriority="62" w:semiHidden="false" w:unhideWhenUsed="false"/>
    <w:lsdException w:name="Medium Shading 2" w:uiPriority="64" w:semiHidden="false" w:unhideWhenUsed="false"/>
    <w:lsdException w:name="heading 7" w:uiPriority="9" w:qFormat="true"/>
    <w:lsdException w:name="Light List Accent 6" w:uiPriority="61" w:semiHidden="false" w:unhideWhenUsed="false"/>
    <w:lsdException w:name="Medium Shading 2 Accent 2" w:uiPriority="64" w:semiHidden="false" w:unhideWhenUsed="false"/>
    <w:lsdException w:name="Strong" w:uiPriority="22" w:semiHidden="false" w:unhideWhenUsed="false" w:qFormat="true"/>
    <w:lsdException w:name="Colorful List Accent 1" w:uiPriority="72" w:semiHidden="false" w:unhideWhenUsed="false"/>
    <w:lsdException w:name="Light Shading Accent 6" w:uiPriority="60" w:semiHidden="false" w:unhideWhenUsed="false"/>
    <w:lsdException w:name="Dark List Accent 1" w:uiPriority="70" w:semiHidden="false" w:unhideWhenUsed="false"/>
    <w:lsdException w:name="Medium Grid 1 Accent 4" w:uiPriority="67" w:semiHidden="false" w:unhideWhenUsed="false"/>
    <w:lsdException w:name="Dark List" w:uiPriority="70" w:semiHidden="false" w:unhideWhenUsed="false"/>
    <w:lsdException w:name="Subtle Reference" w:uiPriority="31" w:semiHidden="false" w:unhideWhenUsed="false" w:qFormat="true"/>
    <w:lsdException w:name="Light Grid Accent 1" w:uiPriority="62" w:semiHidden="false" w:unhideWhenUsed="false"/>
    <w:lsdException w:name="Emphasis" w:uiPriority="20" w:semiHidden="false" w:unhideWhenUsed="false" w:qFormat="true"/>
    <w:lsdException w:name="Colorful List Accent 6" w:uiPriority="72" w:semiHidden="false" w:unhideWhenUsed="false"/>
    <w:lsdException w:name="Intense Reference" w:uiPriority="32" w:semiHidden="false" w:unhideWhenUsed="false" w:qFormat="true"/>
    <w:lsdException w:name="Revision" w:unhideWhenUsed="false"/>
    <w:lsdException w:name="heading 9" w:uiPriority="9" w:qFormat="true"/>
    <w:lsdException w:name="Medium Shading 1 Accent 1" w:uiPriority="63" w:semiHidden="false" w:unhideWhenUsed="false"/>
    <w:lsdException w:name="Light Grid Accent 4" w:uiPriority="62" w:semiHidden="false" w:unhideWhenUsed="false"/>
    <w:lsdException w:name="No Spacing" w:uiPriority="1" w:semiHidden="false" w:unhideWhenUsed="false" w:qFormat="true"/>
    <w:lsdException w:name="Medium Grid 1 Accent 1" w:uiPriority="67" w:semiHidden="false" w:unhideWhenUsed="false"/>
    <w:lsdException w:name="Colorful Grid Accent 5" w:uiPriority="73" w:semiHidden="false" w:unhideWhenUsed="false"/>
    <w:lsdException w:name="Light List Accent 4" w:uiPriority="61" w:semiHidden="false" w:unhideWhenUsed="false"/>
    <w:lsdException w:name="Medium List 2 Accent 1" w:uiPriority="66" w:semiHidden="false" w:unhideWhenUsed="false"/>
    <w:lsdException w:name="heading 4" w:uiPriority="9" w:qFormat="true"/>
    <w:lsdException w:name="Default Paragraph Font" w:uiPriority="1"/>
    <w:lsdException w:name="Medium Grid 3 Accent 1" w:uiPriority="69" w:semiHidden="false" w:unhideWhenUsed="false"/>
    <w:lsdException w:name="Colorful Shading Accent 5" w:uiPriority="71" w:semiHidden="false" w:unhideWhenUsed="false"/>
    <w:lsdException w:name="Medium List 1 Accent 6" w:uiPriority="65" w:semiHidden="false" w:unhideWhenUsed="false"/>
    <w:lsdException w:name="Light Grid Accent 3" w:uiPriority="62" w:semiHidden="false" w:unhideWhenUsed="false"/>
    <w:lsdException w:name="Light Grid Accent 6" w:uiPriority="62" w:semiHidden="false" w:unhideWhenUsed="false"/>
    <w:lsdException w:name="Medium Shading 2 Accent 5" w:uiPriority="64" w:semiHidden="false" w:unhideWhenUsed="false"/>
    <w:lsdException w:name="Colorful Shading Accent 2" w:uiPriority="71" w:semiHidden="false" w:unhideWhenUsed="false"/>
    <w:lsdException w:name="Intense Emphasis" w:uiPriority="21" w:semiHidden="false" w:unhideWhenUsed="false" w:qFormat="true"/>
    <w:lsdException w:name="heading 1" w:uiPriority="9" w:semiHidden="false" w:unhideWhenUsed="false" w:qFormat="true"/>
    <w:lsdException w:name="Medium Grid 2 Accent 2" w:uiPriority="68" w:semiHidden="false" w:unhideWhenUsed="false"/>
    <w:lsdException w:name="toc 3" w:uiPriority="39"/>
    <w:lsdException w:name="Medium Shading 1 Accent 2" w:uiPriority="63" w:semiHidden="false" w:unhideWhenUsed="false"/>
    <w:lsdException w:name="Dark List Accent 5" w:uiPriority="70" w:semiHidden="false" w:unhideWhenUsed="false"/>
    <w:lsdException w:name="Medium Grid 3" w:uiPriority="69" w:semiHidden="false" w:unhideWhenUsed="false"/>
    <w:lsdException w:name="Colorful Grid Accent 2" w:uiPriority="73" w:semiHidden="false" w:unhideWhenUsed="false"/>
    <w:lsdException w:name="Light List Accent 2" w:uiPriority="61" w:semiHidden="false" w:unhideWhenUsed="false"/>
    <w:lsdException w:name="heading 2" w:uiPriority="9" w:qFormat="true"/>
    <w:lsdException w:name="heading 6" w:uiPriority="9" w:qFormat="true"/>
    <w:lsdException w:name="toc 8" w:uiPriority="39"/>
    <w:lsdException w:name="Light Shading Accent 3" w:uiPriority="60" w:semiHidden="false" w:unhideWhenUsed="false"/>
    <w:lsdException w:name="Placeholder Text" w:unhideWhenUsed="false"/>
    <w:lsdException w:name="Normal" w:uiPriority="0" w:semiHidden="false" w:unhideWhenUsed="false" w:qFormat="true"/>
    <w:lsdException w:name="Medium Shading 2 Accent 3" w:uiPriority="64" w:semiHidden="false" w:unhideWhenUsed="false"/>
    <w:lsdException w:name="Light List" w:uiPriority="61" w:semiHidden="false" w:unhideWhenUsed="false"/>
    <w:lsdException w:name="toc 5" w:uiPriority="39"/>
    <w:lsdException w:name="Medium Grid 1 Accent 6" w:uiPriority="67" w:semiHidden="false" w:unhideWhenUsed="false"/>
    <w:lsdException w:name="Colorful List Accent 3" w:uiPriority="72" w:semiHidden="false" w:unhideWhenUsed="false"/>
    <w:lsdException w:name="Medium List 1 Accent 2" w:uiPriority="65" w:semiHidden="false" w:unhideWhenUsed="false"/>
    <w:lsdException w:name="Light Shading Accent 5" w:uiPriority="60" w:semiHidden="false" w:unhideWhenUsed="false"/>
    <w:lsdException w:name="Intense Quote" w:uiPriority="30" w:semiHidden="false" w:unhideWhenUsed="false" w:qFormat="true"/>
    <w:lsdException w:name="Light Grid Accent 5" w:uiPriority="62" w:semiHidden="false" w:unhideWhenUsed="false"/>
    <w:lsdException w:name="Medium Shading 2 Accent 6" w:uiPriority="64" w:semiHidden="false" w:unhideWhenUsed="false"/>
    <w:lsdException w:name="Medium Grid 3 Accent 5" w:uiPriority="69" w:semiHidden="false" w:unhideWhenUsed="false"/>
    <w:lsdException w:name="Light List Accent 5" w:uiPriority="61" w:semiHidden="false" w:unhideWhenUsed="false"/>
    <w:lsdException w:name="Medium List 2 Accent 4" w:uiPriority="66" w:semiHidden="false" w:unhideWhenUsed="false"/>
    <w:lsdException w:name="Medium Shading 1 Accent 4" w:uiPriority="63" w:semiHidden="false" w:unhideWhenUsed="false"/>
    <w:lsdException w:name="Colorful Grid Accent 4" w:uiPriority="73" w:semiHidden="false" w:unhideWhenUsed="false"/>
    <w:lsdException w:name="Dark List Accent 6" w:uiPriority="70" w:semiHidden="false" w:unhideWhenUsed="false"/>
    <w:lsdException w:name="Colorful List Accent 5" w:uiPriority="72" w:semiHidden="false" w:unhideWhenUsed="false"/>
    <w:lsdException w:name="page number" w:uiPriority="0"/>
    <w:lsdException w:name="Colorful List" w:uiPriority="72" w:semiHidden="false" w:unhideWhenUsed="false"/>
    <w:lsdException w:name="Light Grid Accent 2" w:uiPriority="62" w:semiHidden="false" w:unhideWhenUsed="false"/>
    <w:lsdException w:name="Medium Shading 2 Accent 1" w:uiPriority="64" w:semiHidden="false" w:unhideWhenUsed="false"/>
    <w:lsdException w:name="Colorful Grid Accent 1" w:uiPriority="73" w:semiHidden="false" w:unhideWhenUsed="false"/>
    <w:lsdException w:name="Table Grid" w:uiPriority="59" w:semiHidden="false" w:unhideWhenUsed="false"/>
    <w:lsdException w:name="Medium Shading 1 Accent 6" w:uiPriority="63" w:semiHidden="false" w:unhideWhenUsed="false"/>
    <w:lsdException w:name="Medium List 2 Accent 3" w:uiPriority="66" w:semiHidden="false" w:unhideWhenUsed="false"/>
    <w:lsdException w:name="toc 7" w:uiPriority="39"/>
    <w:lsdException w:name="Medium List 1 Accent 5" w:uiPriority="65" w:semiHidden="false" w:unhideWhenUsed="false"/>
    <w:lsdException w:name="Colorful Grid Accent 6" w:uiPriority="73" w:semiHidden="false" w:unhideWhenUsed="false"/>
    <w:lsdException w:name="Colorful Grid" w:uiPriority="73" w:semiHidden="false" w:unhideWhenUsed="false"/>
    <w:lsdException w:name="Medium Grid 3 Accent 2" w:uiPriority="69" w:semiHidden="false" w:unhideWhenUsed="false"/>
    <w:lsdException w:name="Colorful Shading" w:uiPriority="71" w:semiHidden="false" w:unhideWhenUsed="false"/>
    <w:lsdException w:name="Medium Shading 1 Accent 3" w:uiPriority="63" w:semiHidden="false" w:unhideWhenUsed="false"/>
    <w:lsdException w:name="Medium Grid 3 Accent 6" w:uiPriority="69" w:semiHidden="false" w:unhideWhenUsed="false"/>
    <w:lsdException w:name="toc 9" w:uiPriority="39"/>
    <w:lsdException w:name="No List" w:uiPriority="0"/>
    <w:lsdException w:name="Title" w:uiPriority="10" w:semiHidden="false" w:unhideWhenUsed="false" w:qFormat="true"/>
    <w:lsdException w:name="toc 4" w:uiPriority="39"/>
    <w:lsdException w:name="Dark List Accent 2" w:uiPriority="70" w:semiHidden="false" w:unhideWhenUsed="false"/>
    <w:lsdException w:name="Medium Grid 2 Accent 1" w:uiPriority="68" w:semiHidden="false" w:unhideWhenUsed="false"/>
    <w:lsdException w:name="Medium Grid 2 Accent 6" w:uiPriority="68" w:semiHidden="false" w:unhideWhenUsed="false"/>
    <w:lsdException w:name="Medium Grid 1 Accent 3" w:uiPriority="67" w:semiHidden="false" w:unhideWhenUsed="false"/>
    <w:lsdException w:name="Quote" w:uiPriority="29" w:semiHidden="false" w:unhideWhenUsed="false" w:qFormat="true"/>
    <w:lsdException w:name="Colorful Shading Accent 3" w:uiPriority="71" w:semiHidden="false" w:unhideWhenUsed="false"/>
    <w:lsdException w:name="Hyperlink" w:uiPriority="0"/>
    <w:lsdException w:name="Light Shading Accent 4" w:uiPriority="60" w:semiHidden="false" w:unhideWhenUsed="false"/>
    <w:lsdException w:name="Bibliography" w:uiPriority="37"/>
    <w:lsdException w:name="Subtitle" w:uiPriority="11" w:semiHidden="false" w:unhideWhenUsed="false" w:qFormat="true"/>
    <w:lsdException w:name="Medium List 2" w:uiPriority="66" w:semiHidden="false" w:unhideWhenUsed="false"/>
    <w:lsdException w:name="Medium Grid 2 Accent 3" w:uiPriority="68" w:semiHidden="false" w:unhideWhenUsed="false"/>
    <w:lsdException w:name="toc 2" w:uiPriority="39"/>
    <w:lsdException w:name="Medium Grid 1 Accent 5" w:uiPriority="67" w:semiHidden="false" w:unhideWhenUsed="false"/>
    <w:lsdException w:name="caption" w:uiPriority="35" w:qFormat="true"/>
    <w:lsdException w:name="Colorful List Accent 4" w:uiPriority="72" w:semiHidden="false" w:unhideWhenUsed="false"/>
    <w:lsdException w:name="Medium List 1 Accent 1" w:uiPriority="65" w:semiHidden="false" w:unhideWhenUsed="false"/>
    <w:lsdException w:name="Medium Grid 2" w:uiPriority="68" w:semiHidden="false" w:unhideWhenUsed="false"/>
    <w:lsdException w:name="Medium List 2 Accent 6" w:uiPriority="66" w:semiHidden="false" w:unhideWhenUsed="false"/>
    <w:lsdException w:name="heading 3" w:uiPriority="9" w:qFormat="true"/>
    <w:lsdException w:name="Light List Accent 3" w:uiPriority="61" w:semiHidden="false" w:unhideWhenUsed="false"/>
    <w:lsdException w:name="Dark List Accent 4" w:uiPriority="70" w:semiHidden="false" w:unhideWhenUsed="false"/>
    <w:lsdException w:name="Medium Grid 2 Accent 4" w:uiPriority="68" w:semiHidden="false" w:unhideWhenUsed="false"/>
    <w:lsdException w:name="Light Shading Accent 2" w:uiPriority="60" w:semiHidden="false" w:unhideWhenUsed="false"/>
    <w:lsdException w:name="Medium Shading 1" w:uiPriority="63" w:semiHidden="false" w:unhideWhenUsed="false"/>
    <w:lsdException w:name="Colorful Grid Accent 3" w:uiPriority="73" w:semiHidden="false" w:unhideWhenUsed="false"/>
    <w:lsdException w:name="heading 8" w:uiPriority="9" w:qFormat="true"/>
    <w:lsdException w:name="Colorful Shading Accent 1" w:uiPriority="71" w:semiHidden="false" w:unhideWhenUsed="false"/>
    <w:lsdException w:name="Colorful List Accent 2" w:uiPriority="72" w:semiHidden="false" w:unhideWhenUsed="false"/>
    <w:lsdException w:name="Light List Accent 1" w:uiPriority="61" w:semiHidden="false" w:unhideWhenUsed="false"/>
    <w:lsdException w:name="Medium Grid 2 Accent 5" w:uiPriority="68" w:semiHidden="false" w:unhideWhenUsed="false"/>
    <w:lsdException w:name="Date" w:uiPriority="0"/>
    <w:lsdException w:name="List Paragraph" w:uiPriority="34" w:semiHidden="false" w:unhideWhenUsed="false" w:qFormat="true"/>
    <w:lsdException w:name="Colorful Shading Accent 4" w:uiPriority="71" w:semiHidden="false" w:unhideWhenUsed="false"/>
    <w:lsdException w:name="Medium Grid 3 Accent 3" w:uiPriority="69" w:semiHidden="false" w:unhideWhenUsed="false"/>
    <w:lsdException w:name="heading 5" w:uiPriority="9" w:qFormat="true"/>
    <w:lsdException w:name="Medium List 2 Accent 5" w:uiPriority="66" w:semiHidden="false" w:unhideWhenUsed="false"/>
    <w:lsdException w:name="Medium List 1" w:uiPriority="65" w:semiHidden="false" w:unhideWhenUsed="false"/>
    <w:lsdException w:name="Dark List Accent 3" w:uiPriority="70" w:semiHidden="false" w:unhideWhenUsed="false"/>
    <w:lsdException w:name="Medium List 1 Accent 3" w:uiPriority="65" w:semiHidden="false" w:unhideWhenUsed="false"/>
    <w:lsdException w:name="Medium Grid 1 Accent 2" w:uiPriority="67" w:semiHidden="false" w:unhideWhenUsed="false"/>
    <w:lsdException w:name="Medium Shading 1 Accent 5" w:uiPriority="63" w:semiHidden="false" w:unhideWhenUsed="false"/>
    <w:lsdException w:name="Medium Grid 3 Accent 4" w:uiPriority="69" w:semiHidden="false" w:unhideWhenUsed="false"/>
    <w:lsdException w:name="header" w:uiPriority="0"/>
    <w:lsdException w:name="toc 1" w:uiPriority="39"/>
    <w:lsdException w:name="Medium Shading 2 Accent 4" w:uiPriority="64" w:semiHidden="false" w:unhideWhenUsed="false"/>
    <w:lsdException w:name="Medium Grid 1" w:uiPriority="67" w:semiHidden="false" w:unhideWhenUsed="false"/>
    <w:lsdException w:name="Light Shading" w:uiPriority="60" w:semiHidden="false" w:unhideWhenUsed="false"/>
    <w:lsdException w:name="Medium List 2 Accent 2" w:uiPriority="66" w:semiHidden="false" w:unhideWhenUsed="false"/>
    <w:lsdException w:name="Colorful Shading Accent 6" w:uiPriority="71" w:semiHidden="false" w:unhideWhenUsed="false"/>
    <w:lsdException w:name="Medium List 1 Accent 4" w:uiPriority="65" w:semiHidden="false" w:unhideWhenUsed="false"/>
    <w:lsdException w:name="toc 6" w:uiPriority="39"/>
    <w:lsdException w:name="Light Shading Accent 1" w:uiPriority="60" w:semiHidden="false" w:unhideWhenUsed="false"/>
  </w:latentStyles>
  <w:style w:type="character" w:styleId="000029" w:customStyle="true">
    <w:name w:val="页脚 Char"/>
    <w:basedOn w:val="000023"/>
    <w:link w:val="000028"/>
    <w:uiPriority w:val="99"/>
    <w:rsid w:val="009B3ADF"/>
    <w:rPr>
      <w:sz w:val="18"/>
      <w:szCs w:val="18"/>
    </w:rPr>
  </w:style>
  <w:style w:type="paragraph" w:styleId="000022" w:default="true">
    <w:name w:val="Normal"/>
    <w:qFormat/>
    <w:pPr>
      <w:widowControl w:val="false"/>
      <w:jc w:val="both"/>
    </w:pPr>
  </w:style>
  <w:style w:type="paragraph" w:styleId="00002a" w:customStyle="true">
    <w:name w:val="Default"/>
    <w:rsid w:val="009B3ADF"/>
    <w:pPr>
      <w:widowControl w:val="false"/>
      <w:autoSpaceDE w:val="false"/>
      <w:autoSpaceDN w:val="false"/>
      <w:adjustRightInd w:val="false"/>
    </w:pPr>
    <w:rPr>
      <w:rFonts w:ascii="黑体" w:eastAsia="黑体" w:cs="黑体"/>
      <w:color w:val="000000"/>
      <w:kern w:val="0"/>
      <w:sz w:val="24"/>
      <w:szCs w:val="24"/>
    </w:rPr>
  </w:style>
  <w:style w:type="table" w:styleId="000005" w:default="true">
    <w:name w:val="Normal Table"/>
    <w:uiPriority w:val="99"/>
    <w:semiHidden/>
    <w:unhideWhenUsed/>
    <w:tblPr>
      <w:tblInd w:w="0" w:type="dxa"/>
      <w:tblCellMar>
        <w:top w:w="0" w:type="dxa"/>
        <w:left w:w="108" w:type="dxa"/>
        <w:bottom w:w="0" w:type="dxa"/>
        <w:right w:w="108" w:type="dxa"/>
      </w:tblCellMar>
    </w:tblPr>
  </w:style>
  <w:style w:type="character" w:styleId="00000e" w:customStyle="true">
    <w:name w:val="批注框文本 Char"/>
    <w:basedOn w:val="000004"/>
    <w:link w:val="00000d"/>
    <w:uiPriority w:val="99"/>
    <w:semiHidden/>
    <w:rsid w:val="00E00C7A"/>
    <w:rPr>
      <w:sz w:val="18"/>
      <w:szCs w:val="18"/>
    </w:rPr>
  </w:style>
  <w:style w:type="paragraph" w:styleId="00002b">
    <w:name w:val="List Paragraph"/>
    <w:basedOn w:val="000022"/>
    <w:uiPriority w:val="34"/>
    <w:qFormat/>
    <w:rsid w:val="009B3ADF"/>
    <w:pPr>
      <w:ind w:firstLine="420" w:firstLineChars="200"/>
    </w:pPr>
  </w:style>
  <w:style w:type="paragraph" w:styleId="000010">
    <w:name w:val="Date"/>
    <w:basedOn w:val="000003"/>
    <w:next w:val="000003"/>
    <w:link w:val="000011"/>
    <w:rsid w:val="00B577BF"/>
    <w:pPr>
      <w:ind w:left="100" w:leftChars="2500"/>
    </w:pPr>
    <w:rPr>
      <w:rFonts w:ascii="Times New Roman" w:hAnsi="Times New Roman" w:eastAsia="宋体" w:cs="Times New Roman"/>
      <w:szCs w:val="24"/>
    </w:rPr>
  </w:style>
  <w:style w:type="paragraph" w:styleId="000013" w:customStyle="true">
    <w:name w:val="List Paragraph1"/>
    <w:basedOn w:val="000003"/>
    <w:qFormat/>
    <w:rsid w:val="00B577BF"/>
    <w:pPr>
      <w:ind w:firstLine="420" w:firstLineChars="200"/>
    </w:pPr>
    <w:rPr>
      <w:rFonts w:ascii="Calibri" w:hAnsi="Calibri" w:eastAsia="宋体" w:cs="Times New Roman"/>
      <w:szCs w:val="21"/>
    </w:rPr>
  </w:style>
  <w:style w:type="table" w:styleId="000024" w:default="true">
    <w:name w:val="Normal Table"/>
    <w:uiPriority w:val="99"/>
    <w:semiHidden/>
    <w:unhideWhenUsed/>
    <w:tblPr>
      <w:tblInd w:w="0" w:type="dxa"/>
      <w:tblCellMar>
        <w:top w:w="0" w:type="dxa"/>
        <w:left w:w="108" w:type="dxa"/>
        <w:bottom w:w="0" w:type="dxa"/>
        <w:right w:w="108" w:type="dxa"/>
      </w:tblCellMar>
    </w:tblPr>
  </w:style>
  <w:style w:type="character" w:styleId="00002e">
    <w:name w:val="Hyperlink"/>
    <w:rsid w:val="00B577BF"/>
    <w:rPr>
      <w:color w:val="0000FF"/>
      <w:u w:val="single"/>
    </w:rPr>
  </w:style>
  <w:style w:type="paragraph" w:styleId="000009">
    <w:name w:val="footer"/>
    <w:basedOn w:val="000003"/>
    <w:link w:val="00000a"/>
    <w:uiPriority w:val="99"/>
    <w:unhideWhenUsed/>
    <w:rsid w:val="009B3ADF"/>
    <w:pPr>
      <w:tabs>
        <w:tab w:val="center" w:pos="4153"/>
        <w:tab w:val="right" w:pos="8306"/>
      </w:tabs>
      <w:snapToGrid w:val="false"/>
      <w:jc w:val="left"/>
    </w:pPr>
    <w:rPr>
      <w:sz w:val="18"/>
      <w:szCs w:val="18"/>
    </w:rPr>
  </w:style>
  <w:style w:type="numbering" w:styleId="000006" w:default="true">
    <w:name w:val="No List"/>
    <w:uiPriority w:val="99"/>
    <w:semiHidden/>
    <w:unhideWhenUsed/>
  </w:style>
  <w:style w:type="character" w:styleId="00000a" w:customStyle="true">
    <w:name w:val="页脚 Char"/>
    <w:basedOn w:val="000004"/>
    <w:link w:val="000009"/>
    <w:uiPriority w:val="99"/>
    <w:rsid w:val="009B3ADF"/>
    <w:rPr>
      <w:sz w:val="18"/>
      <w:szCs w:val="18"/>
    </w:rPr>
  </w:style>
  <w:style w:type="character" w:styleId="000030" w:customStyle="true">
    <w:name w:val="日期 Char"/>
    <w:basedOn w:val="000023"/>
    <w:link w:val="00002f"/>
    <w:rsid w:val="00B577BF"/>
    <w:rPr>
      <w:rFonts w:ascii="Times New Roman" w:hAnsi="Times New Roman" w:eastAsia="宋体" w:cs="Times New Roman"/>
      <w:szCs w:val="24"/>
    </w:rPr>
  </w:style>
  <w:style w:type="character" w:styleId="000031">
    <w:name w:val="page number"/>
    <w:basedOn w:val="000023"/>
    <w:rsid w:val="00B577BF"/>
  </w:style>
  <w:style w:type="paragraph" w:styleId="00000c">
    <w:name w:val="List Paragraph"/>
    <w:basedOn w:val="000003"/>
    <w:uiPriority w:val="34"/>
    <w:qFormat/>
    <w:rsid w:val="009B3ADF"/>
    <w:pPr>
      <w:tabs/>
      <w:ind w:firstLine="420" w:firstLineChars="200"/>
    </w:pPr>
  </w:style>
  <w:style w:type="numbering" w:styleId="000025" w:default="true">
    <w:name w:val="No List"/>
    <w:uiPriority w:val="99"/>
    <w:semiHidden/>
    <w:unhideWhenUsed/>
  </w:style>
  <w:style w:type="paragraph" w:styleId="000003" w:default="true">
    <w:name w:val="Normal"/>
    <w:qFormat/>
    <w:pPr>
      <w:widowControl w:val="false"/>
      <w:jc w:val="both"/>
    </w:pPr>
    <w:rPr/>
  </w:style>
  <w:style w:type="character" w:styleId="00002d" w:customStyle="true">
    <w:name w:val="批注框文本 Char"/>
    <w:basedOn w:val="000023"/>
    <w:link w:val="00002c"/>
    <w:uiPriority w:val="99"/>
    <w:semiHidden/>
    <w:rsid w:val="00E00C7A"/>
    <w:rPr>
      <w:sz w:val="18"/>
      <w:szCs w:val="18"/>
    </w:rPr>
  </w:style>
  <w:style w:type="paragraph" w:styleId="00002c">
    <w:name w:val="Balloon Text"/>
    <w:basedOn w:val="000022"/>
    <w:link w:val="00002d"/>
    <w:uiPriority w:val="99"/>
    <w:semiHidden/>
    <w:unhideWhenUsed/>
    <w:rsid w:val="00E00C7A"/>
    <w:rPr>
      <w:sz w:val="18"/>
      <w:szCs w:val="18"/>
    </w:rPr>
  </w:style>
  <w:style w:type="paragraph" w:styleId="000026">
    <w:name w:val="header"/>
    <w:basedOn w:val="000022"/>
    <w:link w:val="000027"/>
    <w:unhideWhenUsed/>
    <w:rsid w:val="009B3ADF"/>
    <w:pPr>
      <w:pBdr>
        <w:bottom w:val="single" w:color="auto" w:sz="6" w:space="1"/>
      </w:pBdr>
      <w:tabs>
        <w:tab w:val="center" w:pos="4153"/>
        <w:tab w:val="right" w:pos="8306"/>
      </w:tabs>
      <w:snapToGrid w:val="false"/>
      <w:jc w:val="center"/>
    </w:pPr>
    <w:rPr>
      <w:sz w:val="18"/>
      <w:szCs w:val="18"/>
    </w:rPr>
  </w:style>
  <w:style w:type="paragraph" w:styleId="000007">
    <w:name w:val="header"/>
    <w:basedOn w:val="000003"/>
    <w:link w:val="000008"/>
    <w:unhideWhenUsed/>
    <w:rsid w:val="009B3ADF"/>
    <w:pPr>
      <w:pBdr>
        <w:bottom w:val="single" w:color="auto" w:sz="6" w:space="1"/>
      </w:pBdr>
      <w:tabs>
        <w:tab w:val="center" w:pos="4153"/>
        <w:tab w:val="right" w:pos="8306"/>
      </w:tabs>
      <w:snapToGrid w:val="false"/>
      <w:jc w:val="center"/>
    </w:pPr>
    <w:rPr>
      <w:sz w:val="18"/>
      <w:szCs w:val="18"/>
    </w:rPr>
  </w:style>
  <w:style w:type="character" w:styleId="000004" w:default="true">
    <w:name w:val="Default Paragraph Font"/>
    <w:uiPriority w:val="1"/>
    <w:semiHidden/>
    <w:unhideWhenUsed/>
  </w:style>
  <w:style w:type="paragraph" w:styleId="00000b" w:customStyle="true">
    <w:name w:val="Default"/>
    <w:rsid w:val="009B3ADF"/>
    <w:pPr>
      <w:widowControl w:val="false"/>
      <w:autoSpaceDE w:val="false"/>
      <w:autoSpaceDN w:val="false"/>
      <w:adjustRightInd w:val="false"/>
    </w:pPr>
    <w:rPr>
      <w:rFonts w:ascii="黑体" w:eastAsia="黑体" w:cs="黑体"/>
      <w:color w:val="000000"/>
      <w:kern w:val="0"/>
      <w:sz w:val="24"/>
      <w:szCs w:val="24"/>
    </w:rPr>
  </w:style>
  <w:style w:type="character" w:styleId="000012">
    <w:name w:val="page number"/>
    <w:basedOn w:val="000004"/>
    <w:rsid w:val="00B577BF"/>
  </w:style>
  <w:style w:type="paragraph" w:styleId="000028">
    <w:name w:val="footer"/>
    <w:basedOn w:val="000022"/>
    <w:link w:val="000029"/>
    <w:uiPriority w:val="99"/>
    <w:unhideWhenUsed/>
    <w:rsid w:val="009B3ADF"/>
    <w:pPr>
      <w:tabs>
        <w:tab w:val="center" w:pos="4153"/>
        <w:tab w:val="right" w:pos="8306"/>
      </w:tabs>
      <w:snapToGrid w:val="false"/>
      <w:jc w:val="left"/>
    </w:pPr>
    <w:rPr>
      <w:sz w:val="18"/>
      <w:szCs w:val="18"/>
    </w:rPr>
  </w:style>
  <w:style w:type="paragraph" w:styleId="00000d">
    <w:name w:val="Balloon Text"/>
    <w:basedOn w:val="000003"/>
    <w:link w:val="00000e"/>
    <w:uiPriority w:val="99"/>
    <w:semiHidden/>
    <w:unhideWhenUsed/>
    <w:rsid w:val="00E00C7A"/>
    <w:rPr>
      <w:sz w:val="18"/>
      <w:szCs w:val="18"/>
    </w:rPr>
  </w:style>
  <w:style w:type="paragraph" w:styleId="00002f">
    <w:name w:val="Date"/>
    <w:basedOn w:val="000022"/>
    <w:next w:val="000022"/>
    <w:link w:val="000030"/>
    <w:rsid w:val="00B577BF"/>
    <w:pPr>
      <w:ind w:left="100" w:leftChars="2500"/>
    </w:pPr>
    <w:rPr>
      <w:rFonts w:ascii="Times New Roman" w:hAnsi="Times New Roman" w:eastAsia="宋体" w:cs="Times New Roman"/>
      <w:szCs w:val="24"/>
    </w:rPr>
  </w:style>
  <w:style w:type="character" w:styleId="000008" w:customStyle="true">
    <w:name w:val="页眉 Char"/>
    <w:basedOn w:val="000004"/>
    <w:link w:val="000007"/>
    <w:rsid w:val="009B3ADF"/>
    <w:rPr>
      <w:sz w:val="18"/>
      <w:szCs w:val="18"/>
    </w:rPr>
  </w:style>
  <w:style w:type="paragraph" w:styleId="000032" w:customStyle="true">
    <w:name w:val="List Paragraph1"/>
    <w:basedOn w:val="000022"/>
    <w:qFormat/>
    <w:rsid w:val="00B577BF"/>
    <w:pPr>
      <w:ind w:firstLine="420" w:firstLineChars="200"/>
    </w:pPr>
    <w:rPr>
      <w:rFonts w:ascii="Calibri" w:hAnsi="Calibri" w:eastAsia="宋体" w:cs="Times New Roman"/>
      <w:szCs w:val="21"/>
    </w:rPr>
  </w:style>
  <w:style w:type="character" w:styleId="000023" w:default="true">
    <w:name w:val="Default Paragraph Font"/>
    <w:uiPriority w:val="1"/>
    <w:semiHidden/>
    <w:unhideWhenUsed/>
  </w:style>
  <w:style w:type="character" w:styleId="000011" w:customStyle="true">
    <w:name w:val="日期 Char"/>
    <w:basedOn w:val="000004"/>
    <w:link w:val="000010"/>
    <w:rsid w:val="00B577BF"/>
    <w:rPr>
      <w:rFonts w:ascii="Times New Roman" w:hAnsi="Times New Roman" w:eastAsia="宋体" w:cs="Times New Roman"/>
      <w:szCs w:val="24"/>
    </w:rPr>
  </w:style>
  <w:style w:type="character" w:styleId="00000f">
    <w:name w:val="Hyperlink"/>
    <w:rsid w:val="00B577BF"/>
    <w:rPr>
      <w:color w:val="0000FF"/>
      <w:u w:val="single"/>
    </w:rPr>
  </w:style>
  <w:style w:type="character" w:styleId="000027" w:customStyle="true">
    <w:name w:val="页眉 Char"/>
    <w:basedOn w:val="000023"/>
    <w:link w:val="000026"/>
    <w:rsid w:val="009B3ADF"/>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2" Type="http://schemas.openxmlformats.org/officeDocument/2006/relationships/footnotes" Target="footnotes.xml" /><Relationship Id="rId0" Type="http://schemas.openxmlformats.org/officeDocument/2006/relationships/styles" Target="styles.xml" /><Relationship Id="rId5" Type="http://schemas.openxmlformats.org/officeDocument/2006/relationships/theme" Target="theme/theme1.xml" /><Relationship Id="rId1" Type="http://schemas.openxmlformats.org/officeDocument/2006/relationships/settings" Target="settings.xml" /><Relationship Id="rId3" Type="http://schemas.openxmlformats.org/officeDocument/2006/relationships/endnotes" Target="endnotes.xml" /><Relationship Id="rId6"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2025-05-23T09:15:37Z</dcterms:created>
  <dcterms:modified xsi:type="dcterms:W3CDTF">2025-05-23T09:15:37Z</dcterms:modified>
</cp:coreProperties>
</file>