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rPr>
        <w:t>湖南省煤田</w:t>
      </w:r>
      <w:r>
        <w:rPr>
          <w:rFonts w:hint="eastAsia"/>
          <w:sz w:val="84"/>
          <w:szCs w:val="84"/>
          <w:lang w:eastAsia="zh-CN"/>
        </w:rPr>
        <w:t>局水工环</w:t>
      </w:r>
      <w:r>
        <w:rPr>
          <w:rFonts w:hint="eastAsia"/>
          <w:sz w:val="84"/>
          <w:szCs w:val="84"/>
        </w:rPr>
        <w:t>地</w:t>
      </w:r>
    </w:p>
    <w:p>
      <w:pPr>
        <w:pStyle w:val="11"/>
        <w:jc w:val="center"/>
        <w:rPr>
          <w:sz w:val="84"/>
          <w:szCs w:val="84"/>
        </w:rPr>
      </w:pPr>
      <w:r>
        <w:rPr>
          <w:rFonts w:hint="eastAsia"/>
          <w:sz w:val="84"/>
          <w:szCs w:val="84"/>
        </w:rPr>
        <w:t>地质勘探队部门决算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sectPr>
          <w:pgSz w:w="11906" w:h="16838"/>
          <w:pgMar w:top="993" w:right="849" w:bottom="1135" w:left="851" w:header="851" w:footer="992" w:gutter="0"/>
          <w:cols w:space="425" w:num="1"/>
          <w:docGrid w:type="lines" w:linePitch="312" w:charSpace="0"/>
        </w:sect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 录</w:t>
      </w:r>
    </w:p>
    <w:p>
      <w:pPr>
        <w:pStyle w:val="11"/>
        <w:spacing w:line="500" w:lineRule="exact"/>
        <w:jc w:val="both"/>
        <w:rPr>
          <w:b/>
          <w:sz w:val="36"/>
          <w:szCs w:val="28"/>
        </w:rPr>
      </w:pPr>
    </w:p>
    <w:p>
      <w:pPr>
        <w:pStyle w:val="11"/>
        <w:spacing w:line="500" w:lineRule="exact"/>
        <w:rPr>
          <w:rFonts w:ascii="仿宋_GB2312" w:hAnsi="仿宋_GB2312" w:cs="仿宋_GB2312"/>
          <w:b/>
          <w:sz w:val="28"/>
          <w:szCs w:val="28"/>
        </w:rPr>
      </w:pPr>
      <w:r>
        <w:rPr>
          <w:rFonts w:hint="eastAsia"/>
          <w:b/>
          <w:sz w:val="28"/>
          <w:szCs w:val="28"/>
        </w:rPr>
        <w:t>第一部分煤田水工环队概况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hAnsi="仿宋_GB2312"/>
          <w:b/>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hAnsi="仿宋_GB2312"/>
          <w:b/>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1"/>
        <w:spacing w:line="500" w:lineRule="exact"/>
        <w:ind w:firstLine="700" w:firstLineChars="250"/>
        <w:rPr>
          <w:rFonts w:ascii="黑体" w:hAnsi="黑体" w:eastAsia="黑体" w:cs="黑体"/>
          <w:b/>
          <w:color w:val="000000"/>
          <w:kern w:val="0"/>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36"/>
          <w:szCs w:val="36"/>
        </w:rPr>
        <w:sectPr>
          <w:pgSz w:w="11906" w:h="16838"/>
          <w:pgMar w:top="1418" w:right="1416" w:bottom="1560" w:left="1560" w:header="851" w:footer="992" w:gutter="0"/>
          <w:cols w:space="425" w:num="1"/>
          <w:docGrid w:type="lines" w:linePitch="312" w:charSpace="0"/>
        </w:sect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第一部分</w:t>
      </w:r>
    </w:p>
    <w:p>
      <w:pPr>
        <w:pStyle w:val="11"/>
        <w:jc w:val="center"/>
        <w:rPr>
          <w:sz w:val="72"/>
          <w:szCs w:val="72"/>
        </w:rPr>
      </w:pPr>
    </w:p>
    <w:p>
      <w:pPr>
        <w:pStyle w:val="11"/>
        <w:jc w:val="center"/>
        <w:rPr>
          <w:sz w:val="72"/>
          <w:szCs w:val="72"/>
        </w:rPr>
      </w:pPr>
      <w:r>
        <w:rPr>
          <w:rFonts w:hint="eastAsia"/>
          <w:sz w:val="72"/>
          <w:szCs w:val="72"/>
        </w:rPr>
        <w:t>湖南省煤田地质局</w:t>
      </w:r>
    </w:p>
    <w:p>
      <w:pPr>
        <w:pStyle w:val="11"/>
        <w:jc w:val="center"/>
        <w:rPr>
          <w:sz w:val="72"/>
          <w:szCs w:val="72"/>
        </w:rPr>
      </w:pPr>
      <w:r>
        <w:rPr>
          <w:rFonts w:hint="eastAsia"/>
          <w:sz w:val="72"/>
          <w:szCs w:val="72"/>
        </w:rPr>
        <w:t>水工环地质勘探队概况</w:t>
      </w:r>
    </w:p>
    <w:p>
      <w:pPr>
        <w:pStyle w:val="11"/>
        <w:jc w:val="center"/>
        <w:rPr>
          <w:sz w:val="36"/>
          <w:szCs w:val="36"/>
        </w:rPr>
        <w:sectPr>
          <w:pgSz w:w="11906" w:h="16838"/>
          <w:pgMar w:top="993" w:right="849" w:bottom="1135" w:left="851" w:header="851" w:footer="992" w:gutter="0"/>
          <w:cols w:space="425" w:num="1"/>
          <w:docGrid w:type="lines" w:linePitch="312" w:charSpace="0"/>
        </w:sectPr>
      </w:pPr>
    </w:p>
    <w:p>
      <w:pPr>
        <w:pStyle w:val="11"/>
        <w:jc w:val="center"/>
        <w:rPr>
          <w:sz w:val="36"/>
          <w:szCs w:val="36"/>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hd w:val="clear" w:color="auto" w:fill="FFFFFF"/>
        <w:spacing w:line="600" w:lineRule="atLeast"/>
        <w:ind w:firstLine="640"/>
        <w:rPr>
          <w:rFonts w:ascii="微软雅黑" w:hAnsi="微软雅黑" w:eastAsia="微软雅黑" w:cs="微软雅黑"/>
          <w:color w:val="333333"/>
          <w:sz w:val="18"/>
          <w:szCs w:val="18"/>
        </w:rPr>
      </w:pPr>
      <w:r>
        <w:rPr>
          <w:rFonts w:hint="eastAsia" w:ascii="宋体" w:hAnsi="宋体" w:eastAsia="宋体" w:cs="宋体"/>
          <w:color w:val="333333"/>
          <w:kern w:val="0"/>
          <w:sz w:val="32"/>
          <w:szCs w:val="32"/>
          <w:shd w:val="clear" w:color="auto" w:fill="FFFFFF"/>
        </w:rPr>
        <w:t>（一）组织地质队伍完成国家、省人民政府和有关部门下达的基础性、公益性、战略性地质勘查任务及地质灾害调查评价任务，参与全省矿产资源的合理开发利用工作，为国家和省提供矿产资源开发和管理所需的基础信息材料。</w:t>
      </w:r>
    </w:p>
    <w:p>
      <w:pPr>
        <w:widowControl/>
        <w:shd w:val="clear" w:color="auto" w:fill="FFFFFF"/>
        <w:spacing w:line="600" w:lineRule="atLeast"/>
        <w:ind w:firstLine="640"/>
        <w:rPr>
          <w:rFonts w:ascii="微软雅黑" w:hAnsi="微软雅黑" w:eastAsia="微软雅黑" w:cs="微软雅黑"/>
          <w:color w:val="333333"/>
          <w:sz w:val="18"/>
          <w:szCs w:val="18"/>
        </w:rPr>
      </w:pPr>
      <w:r>
        <w:rPr>
          <w:rFonts w:hint="eastAsia" w:ascii="宋体" w:hAnsi="宋体" w:eastAsia="宋体" w:cs="宋体"/>
          <w:color w:val="333333"/>
          <w:kern w:val="0"/>
          <w:sz w:val="32"/>
          <w:szCs w:val="32"/>
          <w:shd w:val="clear" w:color="auto" w:fill="FFFFFF"/>
        </w:rPr>
        <w:t>（二）面向国内外市场开展矿产地质调查、勘察；水文地质勘察；工程地质勘察；环境地质勘察；地质测绘、地质勘探工程；煤炭资源储量评估；矿山安全程度评估及建设项目预评价；教育培训等相关社会服务。</w:t>
      </w:r>
    </w:p>
    <w:p>
      <w:pPr>
        <w:widowControl/>
        <w:shd w:val="clear" w:color="auto" w:fill="FFFFFF"/>
        <w:spacing w:line="600" w:lineRule="atLeast"/>
        <w:ind w:firstLine="640"/>
        <w:rPr>
          <w:rFonts w:ascii="微软雅黑" w:hAnsi="微软雅黑" w:eastAsia="微软雅黑" w:cs="微软雅黑"/>
          <w:color w:val="333333"/>
          <w:sz w:val="18"/>
          <w:szCs w:val="18"/>
        </w:rPr>
      </w:pPr>
      <w:r>
        <w:rPr>
          <w:rFonts w:hint="eastAsia" w:ascii="宋体" w:hAnsi="宋体" w:eastAsia="宋体" w:cs="宋体"/>
          <w:color w:val="333333"/>
          <w:kern w:val="0"/>
          <w:sz w:val="32"/>
          <w:szCs w:val="32"/>
          <w:shd w:val="clear" w:color="auto" w:fill="FFFFFF"/>
        </w:rPr>
        <w:t>（三）管理本单位财政经费和其它来源经费，按照国有资产管理的有关规定，监管我单位的国有资产，并承担国有资产的保值增值责任。</w:t>
      </w:r>
    </w:p>
    <w:p>
      <w:pPr>
        <w:widowControl/>
        <w:shd w:val="clear" w:color="auto" w:fill="FFFFFF"/>
        <w:spacing w:line="600" w:lineRule="atLeast"/>
        <w:ind w:firstLine="640"/>
        <w:rPr>
          <w:rFonts w:ascii="微软雅黑" w:hAnsi="微软雅黑" w:eastAsia="微软雅黑" w:cs="微软雅黑"/>
          <w:color w:val="333333"/>
          <w:sz w:val="18"/>
          <w:szCs w:val="18"/>
        </w:rPr>
      </w:pPr>
      <w:r>
        <w:rPr>
          <w:rFonts w:hint="eastAsia" w:ascii="宋体" w:hAnsi="宋体" w:eastAsia="宋体" w:cs="宋体"/>
          <w:color w:val="333333"/>
          <w:kern w:val="0"/>
          <w:sz w:val="32"/>
          <w:szCs w:val="32"/>
          <w:shd w:val="clear" w:color="auto" w:fill="FFFFFF"/>
        </w:rPr>
        <w:t>（四）负责本单位的机构编制、人事劳资、劳动与社会保障等工作；促进单位职工队伍建设和精神文明建设。</w:t>
      </w:r>
    </w:p>
    <w:p>
      <w:pPr>
        <w:widowControl/>
        <w:shd w:val="clear" w:color="auto" w:fill="FFFFFF"/>
        <w:spacing w:line="600" w:lineRule="atLeast"/>
        <w:ind w:firstLine="640"/>
        <w:rPr>
          <w:rFonts w:ascii="宋体" w:hAnsi="宋体" w:eastAsia="宋体" w:cs="宋体"/>
          <w:color w:val="333333"/>
          <w:kern w:val="0"/>
          <w:sz w:val="32"/>
          <w:szCs w:val="32"/>
          <w:shd w:val="clear" w:color="auto" w:fill="FFFFFF"/>
        </w:rPr>
      </w:pPr>
      <w:r>
        <w:rPr>
          <w:rFonts w:hint="eastAsia" w:ascii="宋体" w:hAnsi="宋体" w:eastAsia="宋体" w:cs="宋体"/>
          <w:color w:val="333333"/>
          <w:kern w:val="0"/>
          <w:sz w:val="32"/>
          <w:szCs w:val="32"/>
          <w:shd w:val="clear" w:color="auto" w:fill="FFFFFF"/>
        </w:rPr>
        <w:t>（五）承办上级政府和湖南省地质院交办的其他事项。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（一）内设机构设置。湖南省煤田地质局水工环地质勘探队内设机构包括：行政办公室、党委办公室、财务资产科、劳动人事科、经审科、总工办、安全设备科、纪检科、工会、水文所等十个。</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（二）决算单位构成。湖南省煤田地质局水工环地质勘探队</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20年部门决算汇总公开单位构成包括：湖南省煤田地质局水工环地质勘探队</w:t>
      </w:r>
      <w:r>
        <w:rPr>
          <w:rFonts w:hint="eastAsia" w:asciiTheme="minorEastAsia" w:hAnsiTheme="minorEastAsia"/>
          <w:sz w:val="32"/>
          <w:szCs w:val="32"/>
        </w:rPr>
        <w:t>本级，为二级预算单位，没有其他下属预算单位</w:t>
      </w:r>
      <w:r>
        <w:rPr>
          <w:rFonts w:hint="eastAsia" w:asciiTheme="minorEastAsia" w:hAnsiTheme="minorEastAsia"/>
          <w:bCs/>
          <w:kern w:val="0"/>
          <w:sz w:val="32"/>
          <w:szCs w:val="32"/>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hint="eastAsia" w:ascii="宋体" w:hAnsi="宋体" w:eastAsia="宋体" w:cs="宋体"/>
          <w:sz w:val="72"/>
          <w:szCs w:val="72"/>
        </w:rPr>
      </w:pPr>
      <w:r>
        <w:rPr>
          <w:rFonts w:hint="eastAsia" w:ascii="宋体" w:hAnsi="宋体" w:eastAsia="宋体" w:cs="宋体"/>
          <w:sz w:val="72"/>
          <w:szCs w:val="72"/>
        </w:rPr>
        <w:t>第二部分</w:t>
      </w:r>
    </w:p>
    <w:p>
      <w:pPr>
        <w:jc w:val="center"/>
        <w:rPr>
          <w:rFonts w:hint="eastAsia" w:ascii="宋体" w:hAnsi="宋体" w:eastAsia="宋体" w:cs="宋体"/>
          <w:sz w:val="72"/>
          <w:szCs w:val="72"/>
        </w:rPr>
      </w:pPr>
    </w:p>
    <w:p>
      <w:pPr>
        <w:jc w:val="center"/>
        <w:rPr>
          <w:rFonts w:hint="eastAsia" w:ascii="宋体" w:hAnsi="宋体" w:eastAsia="宋体" w:cs="宋体"/>
          <w:sz w:val="72"/>
          <w:szCs w:val="72"/>
        </w:rPr>
        <w:sectPr>
          <w:pgSz w:w="11906" w:h="16838"/>
          <w:pgMar w:top="993" w:right="849" w:bottom="1135" w:left="851" w:header="851" w:footer="992" w:gutter="0"/>
          <w:cols w:space="425" w:num="1"/>
          <w:docGrid w:type="lines" w:linePitch="312" w:charSpace="0"/>
        </w:sectPr>
      </w:pPr>
      <w:r>
        <w:rPr>
          <w:rFonts w:hint="eastAsia" w:ascii="宋体" w:hAnsi="宋体" w:eastAsia="宋体" w:cs="宋体"/>
          <w:sz w:val="72"/>
          <w:szCs w:val="72"/>
        </w:rPr>
        <w:t>部门决算表</w:t>
      </w:r>
    </w:p>
    <w:tbl>
      <w:tblPr>
        <w:tblStyle w:val="6"/>
        <w:tblW w:w="14081" w:type="dxa"/>
        <w:tblInd w:w="93" w:type="dxa"/>
        <w:tblLayout w:type="autofit"/>
        <w:tblCellMar>
          <w:top w:w="0" w:type="dxa"/>
          <w:left w:w="108" w:type="dxa"/>
          <w:bottom w:w="0" w:type="dxa"/>
          <w:right w:w="108" w:type="dxa"/>
        </w:tblCellMar>
      </w:tblPr>
      <w:tblGrid>
        <w:gridCol w:w="4365"/>
        <w:gridCol w:w="613"/>
        <w:gridCol w:w="1749"/>
        <w:gridCol w:w="4548"/>
        <w:gridCol w:w="613"/>
        <w:gridCol w:w="2193"/>
      </w:tblGrid>
      <w:tr>
        <w:tblPrEx>
          <w:tblCellMar>
            <w:top w:w="0" w:type="dxa"/>
            <w:left w:w="108" w:type="dxa"/>
            <w:bottom w:w="0" w:type="dxa"/>
            <w:right w:w="108" w:type="dxa"/>
          </w:tblCellMar>
        </w:tblPrEx>
        <w:trPr>
          <w:trHeight w:val="454" w:hRule="exact"/>
        </w:trPr>
        <w:tc>
          <w:tcPr>
            <w:tcW w:w="4365"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613"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6297" w:type="dxa"/>
            <w:gridSpan w:val="2"/>
            <w:tcBorders>
              <w:top w:val="nil"/>
              <w:left w:val="nil"/>
              <w:bottom w:val="nil"/>
              <w:right w:val="nil"/>
            </w:tcBorders>
            <w:shd w:val="clear" w:color="auto" w:fill="auto"/>
            <w:noWrap/>
            <w:vAlign w:val="center"/>
          </w:tcPr>
          <w:p>
            <w:pPr>
              <w:ind w:firstLine="900" w:firstLineChars="300"/>
              <w:rPr>
                <w:rFonts w:ascii="宋体" w:hAnsi="宋体" w:eastAsia="宋体" w:cs="宋体"/>
                <w:color w:val="000000"/>
                <w:sz w:val="18"/>
                <w:szCs w:val="18"/>
              </w:rPr>
            </w:pPr>
            <w:r>
              <w:rPr>
                <w:rFonts w:hint="eastAsia" w:ascii="黑体" w:hAnsi="宋体" w:eastAsia="黑体" w:cs="黑体"/>
                <w:color w:val="000000"/>
                <w:kern w:val="0"/>
                <w:sz w:val="30"/>
                <w:szCs w:val="30"/>
              </w:rPr>
              <w:t>收入支出决算总表</w:t>
            </w:r>
          </w:p>
        </w:tc>
        <w:tc>
          <w:tcPr>
            <w:tcW w:w="613"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2193" w:type="dxa"/>
            <w:tcBorders>
              <w:top w:val="nil"/>
              <w:left w:val="nil"/>
              <w:bottom w:val="nil"/>
              <w:right w:val="single" w:color="80808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4365"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613"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1749"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4548"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613"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2193" w:type="dxa"/>
            <w:tcBorders>
              <w:top w:val="nil"/>
              <w:left w:val="nil"/>
              <w:bottom w:val="nil"/>
              <w:right w:val="single" w:color="808080" w:sz="4" w:space="0"/>
            </w:tcBorders>
            <w:shd w:val="clear" w:color="auto" w:fill="auto"/>
            <w:noWrap/>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公开01表</w:t>
            </w:r>
          </w:p>
        </w:tc>
      </w:tr>
      <w:tr>
        <w:tblPrEx>
          <w:tblCellMar>
            <w:top w:w="0" w:type="dxa"/>
            <w:left w:w="108" w:type="dxa"/>
            <w:bottom w:w="0" w:type="dxa"/>
            <w:right w:w="108" w:type="dxa"/>
          </w:tblCellMar>
        </w:tblPrEx>
        <w:trPr>
          <w:trHeight w:val="300" w:hRule="atLeast"/>
        </w:trPr>
        <w:tc>
          <w:tcPr>
            <w:tcW w:w="4365" w:type="dxa"/>
            <w:tcBorders>
              <w:top w:val="nil"/>
              <w:left w:val="nil"/>
              <w:bottom w:val="single" w:color="808080" w:sz="4" w:space="0"/>
              <w:right w:val="nil"/>
            </w:tcBorders>
            <w:shd w:val="clear" w:color="auto" w:fill="auto"/>
            <w:noWrap/>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部门：湖南省煤田地质局水工环地质勘探队</w:t>
            </w:r>
          </w:p>
        </w:tc>
        <w:tc>
          <w:tcPr>
            <w:tcW w:w="613" w:type="dxa"/>
            <w:tcBorders>
              <w:top w:val="nil"/>
              <w:left w:val="nil"/>
              <w:bottom w:val="single" w:color="808080" w:sz="4" w:space="0"/>
              <w:right w:val="nil"/>
            </w:tcBorders>
            <w:shd w:val="clear" w:color="auto" w:fill="auto"/>
            <w:noWrap/>
            <w:vAlign w:val="center"/>
          </w:tcPr>
          <w:p>
            <w:pPr>
              <w:rPr>
                <w:rFonts w:ascii="宋体" w:hAnsi="宋体" w:eastAsia="宋体" w:cs="宋体"/>
                <w:color w:val="000000"/>
                <w:sz w:val="18"/>
                <w:szCs w:val="18"/>
              </w:rPr>
            </w:pPr>
          </w:p>
        </w:tc>
        <w:tc>
          <w:tcPr>
            <w:tcW w:w="1749" w:type="dxa"/>
            <w:tcBorders>
              <w:top w:val="nil"/>
              <w:left w:val="nil"/>
              <w:bottom w:val="single" w:color="808080" w:sz="4" w:space="0"/>
              <w:right w:val="nil"/>
            </w:tcBorders>
            <w:shd w:val="clear" w:color="auto" w:fill="auto"/>
            <w:noWrap/>
            <w:vAlign w:val="center"/>
          </w:tcPr>
          <w:p>
            <w:pPr>
              <w:widowControl/>
              <w:textAlignment w:val="center"/>
              <w:rPr>
                <w:rFonts w:ascii="宋体" w:hAnsi="宋体" w:eastAsia="宋体" w:cs="宋体"/>
                <w:color w:val="000000"/>
                <w:sz w:val="24"/>
                <w:szCs w:val="24"/>
              </w:rPr>
            </w:pPr>
          </w:p>
        </w:tc>
        <w:tc>
          <w:tcPr>
            <w:tcW w:w="4548" w:type="dxa"/>
            <w:tcBorders>
              <w:top w:val="nil"/>
              <w:left w:val="nil"/>
              <w:bottom w:val="single" w:color="808080" w:sz="4" w:space="0"/>
              <w:right w:val="nil"/>
            </w:tcBorders>
            <w:shd w:val="clear" w:color="auto" w:fill="auto"/>
            <w:noWrap/>
            <w:vAlign w:val="center"/>
          </w:tcPr>
          <w:p>
            <w:pPr>
              <w:rPr>
                <w:rFonts w:ascii="宋体" w:hAnsi="宋体" w:eastAsia="宋体" w:cs="宋体"/>
                <w:color w:val="000000"/>
                <w:sz w:val="18"/>
                <w:szCs w:val="18"/>
              </w:rPr>
            </w:pPr>
          </w:p>
        </w:tc>
        <w:tc>
          <w:tcPr>
            <w:tcW w:w="613" w:type="dxa"/>
            <w:tcBorders>
              <w:top w:val="nil"/>
              <w:left w:val="nil"/>
              <w:bottom w:val="single" w:color="808080" w:sz="4" w:space="0"/>
              <w:right w:val="nil"/>
            </w:tcBorders>
            <w:shd w:val="clear" w:color="auto" w:fill="auto"/>
            <w:noWrap/>
            <w:vAlign w:val="center"/>
          </w:tcPr>
          <w:p>
            <w:pPr>
              <w:rPr>
                <w:rFonts w:ascii="宋体" w:hAnsi="宋体" w:eastAsia="宋体" w:cs="宋体"/>
                <w:color w:val="000000"/>
                <w:sz w:val="18"/>
                <w:szCs w:val="18"/>
              </w:rPr>
            </w:pPr>
          </w:p>
        </w:tc>
        <w:tc>
          <w:tcPr>
            <w:tcW w:w="2193" w:type="dxa"/>
            <w:tcBorders>
              <w:top w:val="nil"/>
              <w:left w:val="nil"/>
              <w:bottom w:val="single" w:color="808080" w:sz="4" w:space="0"/>
              <w:right w:val="single" w:color="808080" w:sz="4" w:space="0"/>
            </w:tcBorders>
            <w:shd w:val="clear" w:color="auto" w:fill="auto"/>
            <w:noWrap/>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55" w:hRule="exact"/>
        </w:trPr>
        <w:tc>
          <w:tcPr>
            <w:tcW w:w="6727" w:type="dxa"/>
            <w:gridSpan w:val="3"/>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收入</w:t>
            </w:r>
          </w:p>
        </w:tc>
        <w:tc>
          <w:tcPr>
            <w:tcW w:w="7354" w:type="dxa"/>
            <w:gridSpan w:val="3"/>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1749" w:type="dxa"/>
            <w:tcBorders>
              <w:top w:val="nil"/>
              <w:left w:val="nil"/>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2193" w:type="dxa"/>
            <w:tcBorders>
              <w:top w:val="nil"/>
              <w:left w:val="nil"/>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613" w:type="dxa"/>
            <w:tcBorders>
              <w:top w:val="nil"/>
              <w:left w:val="nil"/>
              <w:bottom w:val="single" w:color="000000" w:sz="4" w:space="0"/>
              <w:right w:val="single" w:color="000000" w:sz="4" w:space="0"/>
            </w:tcBorders>
            <w:shd w:val="clear" w:color="auto" w:fill="auto"/>
            <w:noWrap/>
          </w:tcPr>
          <w:p>
            <w:pPr>
              <w:rPr>
                <w:rFonts w:ascii="宋体" w:hAnsi="宋体" w:eastAsia="宋体" w:cs="宋体"/>
                <w:color w:val="000000"/>
                <w:sz w:val="20"/>
                <w:szCs w:val="20"/>
              </w:rPr>
            </w:pP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613" w:type="dxa"/>
            <w:tcBorders>
              <w:top w:val="nil"/>
              <w:left w:val="nil"/>
              <w:bottom w:val="single" w:color="000000" w:sz="4" w:space="0"/>
              <w:right w:val="single" w:color="000000" w:sz="4" w:space="0"/>
            </w:tcBorders>
            <w:shd w:val="clear" w:color="auto" w:fill="auto"/>
            <w:noWrap/>
          </w:tcPr>
          <w:p>
            <w:pPr>
              <w:rPr>
                <w:rFonts w:ascii="宋体" w:hAnsi="宋体" w:eastAsia="宋体" w:cs="宋体"/>
                <w:color w:val="000000"/>
                <w:sz w:val="20"/>
                <w:szCs w:val="20"/>
              </w:rPr>
            </w:pP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一、一般公共预算财政拨款收入</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1,257.69</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二、政府性基金预算财政拨款收入</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三、国有资本经营预算财政拨款收入</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3</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四、上级补助收入</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4</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五、事业收入</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5</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3.50</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六、经营收入</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6</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297.33</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七、附属单位上缴收入</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7</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八、其他收入</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8</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168.07</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9</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80.63</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10</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11</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12</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13</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14</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十四、资源勘探工业信息等支出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412.08</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15</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16</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17</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18</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932.71</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19</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111.21</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20</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21</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二十一、国有资本经营预算支出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22</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二十二、灾害防治及应急管理支出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80.00</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23</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二十三、其他支出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b/>
                <w:bCs/>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24</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二十四、债务还本支出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25</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二十五、债务付息支出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26</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二十六、抗疫特别国债安排的支出</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rPr>
              <w:t>本年收入合计</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27</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1,555.02</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本年支出合计</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1,788.20</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使用非财政拨款结余</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28</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年初结转和结余</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29</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-39.16</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-272.34</w:t>
            </w: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themeColor="text1"/>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30</w:t>
            </w:r>
          </w:p>
        </w:tc>
        <w:tc>
          <w:tcPr>
            <w:tcW w:w="1749"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c>
          <w:tcPr>
            <w:tcW w:w="4548" w:type="dxa"/>
            <w:tcBorders>
              <w:top w:val="nil"/>
              <w:left w:val="nil"/>
              <w:bottom w:val="single" w:color="000000" w:sz="4" w:space="0"/>
              <w:right w:val="single" w:color="000000" w:sz="4" w:space="0"/>
            </w:tcBorders>
            <w:shd w:val="clear" w:color="auto" w:fill="auto"/>
            <w:noWrap/>
          </w:tcPr>
          <w:p>
            <w:pPr>
              <w:rPr>
                <w:rFonts w:ascii="宋体" w:hAnsi="宋体" w:eastAsia="宋体" w:cs="宋体"/>
                <w:color w:val="000000"/>
                <w:sz w:val="20"/>
                <w:szCs w:val="20"/>
              </w:rPr>
            </w:pP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w:t>
            </w:r>
          </w:p>
        </w:tc>
        <w:tc>
          <w:tcPr>
            <w:tcW w:w="2193" w:type="dxa"/>
            <w:tcBorders>
              <w:top w:val="nil"/>
              <w:left w:val="nil"/>
              <w:bottom w:val="single" w:color="000000" w:sz="4" w:space="0"/>
              <w:right w:val="single" w:color="000000" w:sz="4" w:space="0"/>
            </w:tcBorders>
            <w:shd w:val="clear" w:color="auto" w:fill="auto"/>
            <w:noWrap/>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trPr>
        <w:tc>
          <w:tcPr>
            <w:tcW w:w="4365" w:type="dxa"/>
            <w:tcBorders>
              <w:top w:val="nil"/>
              <w:left w:val="single" w:color="000000" w:sz="4" w:space="0"/>
              <w:bottom w:val="single" w:color="000000" w:sz="4" w:space="0"/>
              <w:right w:val="single" w:color="000000" w:sz="4" w:space="0"/>
            </w:tcBorders>
            <w:shd w:val="clear" w:color="auto" w:fill="auto"/>
            <w:noWrap/>
          </w:tcPr>
          <w:p>
            <w:pPr>
              <w:widowControl/>
              <w:textAlignment w:val="center"/>
              <w:rPr>
                <w:rFonts w:ascii="宋体" w:hAnsi="宋体" w:eastAsia="宋体" w:cs="宋体"/>
                <w:b/>
                <w:bCs/>
                <w:color w:val="000000" w:themeColor="text1"/>
                <w:sz w:val="20"/>
                <w:szCs w:val="20"/>
              </w:rPr>
            </w:pPr>
            <w:r>
              <w:rPr>
                <w:rFonts w:hint="eastAsia" w:ascii="宋体" w:hAnsi="宋体" w:eastAsia="宋体" w:cs="宋体"/>
                <w:b/>
                <w:bCs/>
                <w:color w:val="000000" w:themeColor="text1"/>
                <w:kern w:val="0"/>
                <w:sz w:val="20"/>
                <w:szCs w:val="20"/>
              </w:rPr>
              <w:t>总计</w:t>
            </w:r>
          </w:p>
        </w:tc>
        <w:tc>
          <w:tcPr>
            <w:tcW w:w="613" w:type="dxa"/>
            <w:tcBorders>
              <w:top w:val="nil"/>
              <w:left w:val="nil"/>
              <w:bottom w:val="single" w:color="000000" w:sz="12" w:space="0"/>
              <w:right w:val="single" w:color="000000" w:sz="4" w:space="0"/>
            </w:tcBorders>
            <w:shd w:val="clear" w:color="auto" w:fill="auto"/>
            <w:noWrap/>
          </w:tcPr>
          <w:p>
            <w:pPr>
              <w:widowControl/>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31</w:t>
            </w:r>
          </w:p>
        </w:tc>
        <w:tc>
          <w:tcPr>
            <w:tcW w:w="1749"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1,515.86</w:t>
            </w:r>
          </w:p>
        </w:tc>
        <w:tc>
          <w:tcPr>
            <w:tcW w:w="4548"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总计</w:t>
            </w:r>
          </w:p>
        </w:tc>
        <w:tc>
          <w:tcPr>
            <w:tcW w:w="613" w:type="dxa"/>
            <w:tcBorders>
              <w:top w:val="nil"/>
              <w:left w:val="nil"/>
              <w:bottom w:val="single" w:color="000000" w:sz="4" w:space="0"/>
              <w:right w:val="single" w:color="000000" w:sz="4" w:space="0"/>
            </w:tcBorders>
            <w:shd w:val="clear" w:color="auto" w:fill="auto"/>
            <w:noWrap/>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w:t>
            </w:r>
          </w:p>
        </w:tc>
        <w:tc>
          <w:tcPr>
            <w:tcW w:w="2193" w:type="dxa"/>
            <w:tcBorders>
              <w:top w:val="nil"/>
              <w:left w:val="nil"/>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1,515.86</w:t>
            </w:r>
          </w:p>
        </w:tc>
      </w:tr>
      <w:tr>
        <w:tblPrEx>
          <w:tblCellMar>
            <w:top w:w="0" w:type="dxa"/>
            <w:left w:w="108" w:type="dxa"/>
            <w:bottom w:w="0" w:type="dxa"/>
            <w:right w:w="108" w:type="dxa"/>
          </w:tblCellMar>
        </w:tblPrEx>
        <w:trPr>
          <w:trHeight w:val="300" w:hRule="atLeast"/>
        </w:trPr>
        <w:tc>
          <w:tcPr>
            <w:tcW w:w="14081" w:type="dxa"/>
            <w:gridSpan w:val="6"/>
            <w:tcBorders>
              <w:top w:val="nil"/>
              <w:left w:val="nil"/>
              <w:bottom w:val="nil"/>
              <w:right w:val="nil"/>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注：本表反映部门本年度的总收支和年末结转结余情况。本套报表金额单位转换时可能存在尾数误差。</w:t>
            </w:r>
          </w:p>
        </w:tc>
      </w:tr>
    </w:tbl>
    <w:p>
      <w:pPr>
        <w:widowControl/>
        <w:jc w:val="left"/>
        <w:rPr>
          <w:rFonts w:ascii="Times New Roman" w:hAnsi="Times New Roman" w:eastAsia="黑体" w:cs="Times New Roman"/>
          <w:bCs/>
          <w:kern w:val="0"/>
          <w:sz w:val="32"/>
          <w:szCs w:val="32"/>
        </w:rPr>
        <w:sectPr>
          <w:pgSz w:w="16838" w:h="11906" w:orient="landscape"/>
          <w:pgMar w:top="851" w:right="993" w:bottom="849" w:left="1135" w:header="851" w:footer="992" w:gutter="0"/>
          <w:cols w:space="425" w:num="1"/>
          <w:docGrid w:type="lines" w:linePitch="312" w:charSpace="0"/>
        </w:sectPr>
      </w:pPr>
    </w:p>
    <w:tbl>
      <w:tblPr>
        <w:tblStyle w:val="6"/>
        <w:tblW w:w="15244" w:type="dxa"/>
        <w:tblInd w:w="-318" w:type="dxa"/>
        <w:tblLayout w:type="fixed"/>
        <w:tblCellMar>
          <w:top w:w="0" w:type="dxa"/>
          <w:left w:w="108" w:type="dxa"/>
          <w:bottom w:w="0" w:type="dxa"/>
          <w:right w:w="108" w:type="dxa"/>
        </w:tblCellMar>
      </w:tblPr>
      <w:tblGrid>
        <w:gridCol w:w="1513"/>
        <w:gridCol w:w="313"/>
        <w:gridCol w:w="240"/>
        <w:gridCol w:w="1797"/>
        <w:gridCol w:w="240"/>
        <w:gridCol w:w="297"/>
        <w:gridCol w:w="1621"/>
        <w:gridCol w:w="1809"/>
        <w:gridCol w:w="26"/>
        <w:gridCol w:w="1041"/>
        <w:gridCol w:w="258"/>
        <w:gridCol w:w="693"/>
        <w:gridCol w:w="210"/>
        <w:gridCol w:w="293"/>
        <w:gridCol w:w="543"/>
        <w:gridCol w:w="890"/>
        <w:gridCol w:w="41"/>
        <w:gridCol w:w="882"/>
        <w:gridCol w:w="298"/>
        <w:gridCol w:w="702"/>
        <w:gridCol w:w="1537"/>
      </w:tblGrid>
      <w:tr>
        <w:tblPrEx>
          <w:tblCellMar>
            <w:top w:w="0" w:type="dxa"/>
            <w:left w:w="108" w:type="dxa"/>
            <w:bottom w:w="0" w:type="dxa"/>
            <w:right w:w="108" w:type="dxa"/>
          </w:tblCellMar>
        </w:tblPrEx>
        <w:trPr>
          <w:trHeight w:val="375" w:hRule="atLeast"/>
        </w:trPr>
        <w:tc>
          <w:tcPr>
            <w:tcW w:w="3863"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sz w:val="18"/>
                <w:szCs w:val="18"/>
              </w:rPr>
            </w:pPr>
          </w:p>
        </w:tc>
        <w:tc>
          <w:tcPr>
            <w:tcW w:w="24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9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456" w:type="dxa"/>
            <w:gridSpan w:val="3"/>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038" w:type="dxa"/>
            <w:gridSpan w:val="6"/>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r>
              <w:rPr>
                <w:rFonts w:hint="eastAsia" w:ascii="黑体" w:hAnsi="宋体" w:eastAsia="黑体" w:cs="黑体"/>
                <w:color w:val="000000"/>
                <w:kern w:val="0"/>
                <w:sz w:val="30"/>
                <w:szCs w:val="30"/>
              </w:rPr>
              <w:t>收入决算表</w:t>
            </w:r>
          </w:p>
        </w:tc>
        <w:tc>
          <w:tcPr>
            <w:tcW w:w="89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23" w:type="dxa"/>
            <w:gridSpan w:val="2"/>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00" w:type="dxa"/>
            <w:gridSpan w:val="2"/>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537" w:type="dxa"/>
            <w:tcBorders>
              <w:top w:val="nil"/>
              <w:left w:val="nil"/>
              <w:bottom w:val="nil"/>
              <w:right w:val="single" w:color="80808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3863" w:type="dxa"/>
            <w:gridSpan w:val="4"/>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4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9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456" w:type="dxa"/>
            <w:gridSpan w:val="3"/>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4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61" w:type="dxa"/>
            <w:gridSpan w:val="3"/>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36" w:type="dxa"/>
            <w:gridSpan w:val="2"/>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9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23" w:type="dxa"/>
            <w:gridSpan w:val="2"/>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00" w:type="dxa"/>
            <w:gridSpan w:val="2"/>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537" w:type="dxa"/>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公开02表</w:t>
            </w:r>
          </w:p>
        </w:tc>
      </w:tr>
      <w:tr>
        <w:tblPrEx>
          <w:tblCellMar>
            <w:top w:w="0" w:type="dxa"/>
            <w:left w:w="108" w:type="dxa"/>
            <w:bottom w:w="0" w:type="dxa"/>
            <w:right w:w="108" w:type="dxa"/>
          </w:tblCellMar>
        </w:tblPrEx>
        <w:trPr>
          <w:trHeight w:val="300" w:hRule="atLeast"/>
        </w:trPr>
        <w:tc>
          <w:tcPr>
            <w:tcW w:w="15244" w:type="dxa"/>
            <w:gridSpan w:val="21"/>
            <w:tcBorders>
              <w:top w:val="nil"/>
              <w:left w:val="nil"/>
              <w:bottom w:val="single" w:color="808080" w:sz="4" w:space="0"/>
              <w:right w:val="single" w:color="808080" w:sz="4" w:space="0"/>
            </w:tcBorders>
            <w:shd w:val="clear" w:color="auto" w:fill="auto"/>
            <w:noWrap/>
            <w:vAlign w:val="center"/>
          </w:tcPr>
          <w:p>
            <w:pPr>
              <w:widowControl/>
              <w:jc w:val="both"/>
              <w:textAlignment w:val="center"/>
              <w:rPr>
                <w:rFonts w:ascii="宋体" w:hAnsi="宋体" w:eastAsia="宋体" w:cs="宋体"/>
                <w:color w:val="000000"/>
                <w:sz w:val="22"/>
              </w:rPr>
            </w:pPr>
            <w:r>
              <w:rPr>
                <w:rFonts w:hint="eastAsia" w:ascii="宋体" w:hAnsi="宋体" w:eastAsia="宋体" w:cs="宋体"/>
                <w:color w:val="000000"/>
                <w:kern w:val="0"/>
                <w:sz w:val="22"/>
              </w:rPr>
              <w:t>部门：湖南省煤田地质局水工环地质勘探队</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7856" w:type="dxa"/>
            <w:gridSpan w:val="9"/>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04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1161"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财政拨款收入</w:t>
            </w:r>
          </w:p>
        </w:tc>
        <w:tc>
          <w:tcPr>
            <w:tcW w:w="836"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上级补助收入</w:t>
            </w:r>
          </w:p>
        </w:tc>
        <w:tc>
          <w:tcPr>
            <w:tcW w:w="89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事业收入</w:t>
            </w:r>
          </w:p>
        </w:tc>
        <w:tc>
          <w:tcPr>
            <w:tcW w:w="923"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经营收入</w:t>
            </w:r>
          </w:p>
        </w:tc>
        <w:tc>
          <w:tcPr>
            <w:tcW w:w="100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附属单位上缴收入</w:t>
            </w:r>
          </w:p>
        </w:tc>
        <w:tc>
          <w:tcPr>
            <w:tcW w:w="153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其他收入</w:t>
            </w:r>
          </w:p>
        </w:tc>
      </w:tr>
      <w:tr>
        <w:tblPrEx>
          <w:tblCellMar>
            <w:top w:w="0" w:type="dxa"/>
            <w:left w:w="108" w:type="dxa"/>
            <w:bottom w:w="0" w:type="dxa"/>
            <w:right w:w="108" w:type="dxa"/>
          </w:tblCellMar>
        </w:tblPrEx>
        <w:trPr>
          <w:trHeight w:val="312" w:hRule="atLeast"/>
        </w:trPr>
        <w:tc>
          <w:tcPr>
            <w:tcW w:w="4400" w:type="dxa"/>
            <w:gridSpan w:val="6"/>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3456" w:type="dxa"/>
            <w:gridSpan w:val="3"/>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04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61"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9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23"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0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4400"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456" w:type="dxa"/>
            <w:gridSpan w:val="3"/>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04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61"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9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23"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0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4400"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456" w:type="dxa"/>
            <w:gridSpan w:val="3"/>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04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61"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9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23"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0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856" w:type="dxa"/>
            <w:gridSpan w:val="9"/>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04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161"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36"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923"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53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r>
      <w:tr>
        <w:tblPrEx>
          <w:tblCellMar>
            <w:top w:w="0" w:type="dxa"/>
            <w:left w:w="108" w:type="dxa"/>
            <w:bottom w:w="0" w:type="dxa"/>
            <w:right w:w="108" w:type="dxa"/>
          </w:tblCellMar>
        </w:tblPrEx>
        <w:trPr>
          <w:trHeight w:val="300" w:hRule="atLeast"/>
        </w:trPr>
        <w:tc>
          <w:tcPr>
            <w:tcW w:w="7856" w:type="dxa"/>
            <w:gridSpan w:val="9"/>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1,555.02</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1,257.69</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297.33</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205</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教育支出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20508</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进修及培训</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3.50</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3.50</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208</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社会保障和就业支出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20805</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行政事业单位养老支出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168.07</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168.07</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210</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卫生健康支出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21011</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行政事业单位医疗</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2101102</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事业单位医疗</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80.63</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80.63</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215</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资源勘探工业信息等支出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243.60</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243.60</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21501</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资源勘探开发</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243.60</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243.60</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2150199</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其他资源勘探业支出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243.60</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243.60</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220</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自然资源海洋气象等支出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948.01</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650.68</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297.33</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22001</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自然资源事务</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948.01</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650.68</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297.33</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2200150</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事业运行</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948.01</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650.68</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297.33</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221</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住房保障支出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22102</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住房改革支出</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4400"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3456"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10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111.21</w:t>
            </w:r>
          </w:p>
        </w:tc>
        <w:tc>
          <w:tcPr>
            <w:tcW w:w="1161"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111.21</w:t>
            </w:r>
          </w:p>
        </w:tc>
        <w:tc>
          <w:tcPr>
            <w:tcW w:w="83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23"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0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5244" w:type="dxa"/>
            <w:gridSpan w:val="21"/>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注：本表反映部门本年度取得的各项收入情况。</w:t>
            </w:r>
          </w:p>
        </w:tc>
      </w:tr>
      <w:tr>
        <w:tblPrEx>
          <w:tblCellMar>
            <w:top w:w="0" w:type="dxa"/>
            <w:left w:w="108" w:type="dxa"/>
            <w:bottom w:w="0" w:type="dxa"/>
            <w:right w:w="108" w:type="dxa"/>
          </w:tblCellMar>
        </w:tblPrEx>
        <w:trPr>
          <w:trHeight w:val="369" w:hRule="atLeast"/>
        </w:trPr>
        <w:tc>
          <w:tcPr>
            <w:tcW w:w="1513"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r>
              <w:rPr>
                <w:rFonts w:ascii="Times New Roman" w:hAnsi="Times New Roman" w:eastAsia="黑体" w:cs="Times New Roman"/>
                <w:bCs/>
                <w:kern w:val="0"/>
                <w:sz w:val="32"/>
                <w:szCs w:val="32"/>
              </w:rPr>
              <w:br w:type="page"/>
            </w:r>
            <w:bookmarkStart w:id="0" w:name="RANGE!A1:F16"/>
          </w:p>
        </w:tc>
        <w:tc>
          <w:tcPr>
            <w:tcW w:w="313"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4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7089" w:type="dxa"/>
            <w:gridSpan w:val="8"/>
            <w:tcBorders>
              <w:top w:val="nil"/>
              <w:left w:val="nil"/>
              <w:bottom w:val="nil"/>
              <w:right w:val="nil"/>
            </w:tcBorders>
            <w:shd w:val="clear" w:color="auto" w:fill="auto"/>
            <w:noWrap/>
            <w:vAlign w:val="center"/>
          </w:tcPr>
          <w:p>
            <w:pPr>
              <w:jc w:val="left"/>
              <w:rPr>
                <w:rFonts w:ascii="黑体" w:hAnsi="宋体" w:eastAsia="黑体" w:cs="黑体"/>
                <w:color w:val="000000"/>
                <w:kern w:val="0"/>
                <w:sz w:val="30"/>
                <w:szCs w:val="30"/>
              </w:rPr>
            </w:pPr>
          </w:p>
          <w:p>
            <w:pPr>
              <w:jc w:val="left"/>
              <w:rPr>
                <w:rFonts w:ascii="黑体" w:hAnsi="宋体" w:eastAsia="黑体" w:cs="黑体"/>
                <w:color w:val="000000"/>
                <w:kern w:val="0"/>
                <w:sz w:val="30"/>
                <w:szCs w:val="30"/>
              </w:rPr>
            </w:pPr>
          </w:p>
          <w:p>
            <w:pPr>
              <w:ind w:firstLine="4800" w:firstLineChars="1600"/>
              <w:jc w:val="left"/>
              <w:rPr>
                <w:rFonts w:ascii="宋体" w:hAnsi="宋体" w:eastAsia="宋体" w:cs="宋体"/>
                <w:color w:val="000000"/>
                <w:sz w:val="18"/>
                <w:szCs w:val="18"/>
              </w:rPr>
            </w:pPr>
            <w:r>
              <w:rPr>
                <w:rFonts w:hint="eastAsia" w:ascii="黑体" w:hAnsi="宋体" w:eastAsia="黑体" w:cs="黑体"/>
                <w:color w:val="000000"/>
                <w:kern w:val="0"/>
                <w:sz w:val="30"/>
                <w:szCs w:val="30"/>
              </w:rPr>
              <w:t>支出决算表</w:t>
            </w:r>
          </w:p>
        </w:tc>
        <w:tc>
          <w:tcPr>
            <w:tcW w:w="1196" w:type="dxa"/>
            <w:gridSpan w:val="3"/>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474" w:type="dxa"/>
            <w:gridSpan w:val="3"/>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80" w:type="dxa"/>
            <w:gridSpan w:val="2"/>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239" w:type="dxa"/>
            <w:gridSpan w:val="2"/>
            <w:tcBorders>
              <w:top w:val="nil"/>
              <w:left w:val="nil"/>
              <w:bottom w:val="nil"/>
              <w:right w:val="single" w:color="80808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1513"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13"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4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955" w:type="dxa"/>
            <w:gridSpan w:val="4"/>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809"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018" w:type="dxa"/>
            <w:gridSpan w:val="4"/>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503" w:type="dxa"/>
            <w:gridSpan w:val="2"/>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474" w:type="dxa"/>
            <w:gridSpan w:val="3"/>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80" w:type="dxa"/>
            <w:gridSpan w:val="2"/>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239" w:type="dxa"/>
            <w:gridSpan w:val="2"/>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公开03表</w:t>
            </w:r>
          </w:p>
        </w:tc>
      </w:tr>
      <w:tr>
        <w:tblPrEx>
          <w:tblCellMar>
            <w:top w:w="0" w:type="dxa"/>
            <w:left w:w="108" w:type="dxa"/>
            <w:bottom w:w="0" w:type="dxa"/>
            <w:right w:w="108" w:type="dxa"/>
          </w:tblCellMar>
        </w:tblPrEx>
        <w:trPr>
          <w:trHeight w:val="300" w:hRule="atLeast"/>
        </w:trPr>
        <w:tc>
          <w:tcPr>
            <w:tcW w:w="6021" w:type="dxa"/>
            <w:gridSpan w:val="7"/>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部门：湖南省煤田地质局水工环地质勘探队</w:t>
            </w:r>
          </w:p>
        </w:tc>
        <w:tc>
          <w:tcPr>
            <w:tcW w:w="1809"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22"/>
              </w:rPr>
            </w:pPr>
          </w:p>
        </w:tc>
        <w:tc>
          <w:tcPr>
            <w:tcW w:w="1325" w:type="dxa"/>
            <w:gridSpan w:val="3"/>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196" w:type="dxa"/>
            <w:gridSpan w:val="3"/>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4893" w:type="dxa"/>
            <w:gridSpan w:val="7"/>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1" w:hRule="exact"/>
        </w:trPr>
        <w:tc>
          <w:tcPr>
            <w:tcW w:w="6021" w:type="dxa"/>
            <w:gridSpan w:val="7"/>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80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1325"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196"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147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上缴上级支出</w:t>
            </w:r>
          </w:p>
        </w:tc>
        <w:tc>
          <w:tcPr>
            <w:tcW w:w="118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经营支出</w:t>
            </w:r>
          </w:p>
        </w:tc>
        <w:tc>
          <w:tcPr>
            <w:tcW w:w="223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对附属单位补助支出</w:t>
            </w:r>
          </w:p>
        </w:tc>
      </w:tr>
      <w:tr>
        <w:tblPrEx>
          <w:tblCellMar>
            <w:top w:w="0" w:type="dxa"/>
            <w:left w:w="108" w:type="dxa"/>
            <w:bottom w:w="0" w:type="dxa"/>
            <w:right w:w="108" w:type="dxa"/>
          </w:tblCellMar>
        </w:tblPrEx>
        <w:trPr>
          <w:trHeight w:val="312" w:hRule="atLeast"/>
        </w:trPr>
        <w:tc>
          <w:tcPr>
            <w:tcW w:w="206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3955"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80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25"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96"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4"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39"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206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955"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80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25"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96"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4"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39"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206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955"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80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25"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96"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4"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39"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021" w:type="dxa"/>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80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25"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19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47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180"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239"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trPr>
        <w:tc>
          <w:tcPr>
            <w:tcW w:w="6021" w:type="dxa"/>
            <w:gridSpan w:val="7"/>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1,788.20</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1,344.09</w:t>
            </w:r>
          </w:p>
        </w:tc>
        <w:tc>
          <w:tcPr>
            <w:tcW w:w="1196"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161.78</w:t>
            </w: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282.33</w:t>
            </w: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205</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教育支出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20508</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进修及培训</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3.50</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3.50</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208</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社会保障和就业支出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20805</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行政事业单位养老支出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168.07</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168.07</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210</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卫生健康支出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21011</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行政事业单位医疗</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2101102</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事业单位医疗</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80.63</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80.63</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215</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资源勘探工业信息等支出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412.08</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330.30</w:t>
            </w:r>
          </w:p>
        </w:tc>
        <w:tc>
          <w:tcPr>
            <w:tcW w:w="1196"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81.78</w:t>
            </w: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21501</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资源勘探开发</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412.08</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330.30</w:t>
            </w:r>
          </w:p>
        </w:tc>
        <w:tc>
          <w:tcPr>
            <w:tcW w:w="1196"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81.78</w:t>
            </w: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2150199</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其他资源勘探业支出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412.08</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330.30</w:t>
            </w:r>
          </w:p>
        </w:tc>
        <w:tc>
          <w:tcPr>
            <w:tcW w:w="1196"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81.78</w:t>
            </w: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220</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自然资源海洋气象等支出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932.71</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650.38</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282.33</w:t>
            </w: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22001</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自然资源事务</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932.71</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650.38</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282.33</w:t>
            </w: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2200150</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事业运行</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932.71</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650.38</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282.33</w:t>
            </w: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221</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住房保障支出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22102</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住房改革支出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111.21</w:t>
            </w:r>
          </w:p>
        </w:tc>
        <w:tc>
          <w:tcPr>
            <w:tcW w:w="1325"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111.21</w:t>
            </w:r>
          </w:p>
        </w:tc>
        <w:tc>
          <w:tcPr>
            <w:tcW w:w="1196"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224</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灾害防治及应急管理支出</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80.00</w:t>
            </w:r>
          </w:p>
        </w:tc>
        <w:tc>
          <w:tcPr>
            <w:tcW w:w="1325"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196"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80.00</w:t>
            </w: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22406</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自然灾害防治</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80.00</w:t>
            </w:r>
          </w:p>
        </w:tc>
        <w:tc>
          <w:tcPr>
            <w:tcW w:w="1325"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1196"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80.00</w:t>
            </w: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300" w:hRule="atLeast"/>
        </w:trPr>
        <w:tc>
          <w:tcPr>
            <w:tcW w:w="20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2240601</w:t>
            </w:r>
          </w:p>
        </w:tc>
        <w:tc>
          <w:tcPr>
            <w:tcW w:w="3955"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地质灾害防治</w:t>
            </w:r>
          </w:p>
        </w:tc>
        <w:tc>
          <w:tcPr>
            <w:tcW w:w="18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80.00</w:t>
            </w:r>
          </w:p>
        </w:tc>
        <w:tc>
          <w:tcPr>
            <w:tcW w:w="1325" w:type="dxa"/>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196"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80.00</w:t>
            </w:r>
          </w:p>
        </w:tc>
        <w:tc>
          <w:tcPr>
            <w:tcW w:w="1474" w:type="dxa"/>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8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23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5244" w:type="dxa"/>
            <w:gridSpan w:val="21"/>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注：本表反映部门本年度各项支出情况。</w:t>
            </w:r>
          </w:p>
        </w:tc>
      </w:tr>
      <w:tr>
        <w:tblPrEx>
          <w:tblCellMar>
            <w:top w:w="0" w:type="dxa"/>
            <w:left w:w="108" w:type="dxa"/>
            <w:bottom w:w="0" w:type="dxa"/>
            <w:right w:w="108" w:type="dxa"/>
          </w:tblCellMar>
        </w:tblPrEx>
        <w:trPr>
          <w:trHeight w:val="300" w:hRule="atLeast"/>
        </w:trPr>
        <w:tc>
          <w:tcPr>
            <w:tcW w:w="15244" w:type="dxa"/>
            <w:gridSpan w:val="21"/>
            <w:tcBorders>
              <w:top w:val="nil"/>
              <w:left w:val="nil"/>
              <w:bottom w:val="nil"/>
              <w:right w:val="nil"/>
            </w:tcBorders>
            <w:shd w:val="clear" w:color="auto" w:fill="auto"/>
            <w:noWrap/>
            <w:vAlign w:val="center"/>
          </w:tcPr>
          <w:p>
            <w:pPr>
              <w:spacing w:line="200" w:lineRule="atLeast"/>
              <w:ind w:firstLine="5400" w:firstLineChars="1800"/>
              <w:jc w:val="left"/>
              <w:rPr>
                <w:rFonts w:ascii="黑体" w:hAnsi="宋体" w:eastAsia="黑体" w:cs="黑体"/>
                <w:color w:val="000000"/>
                <w:kern w:val="0"/>
                <w:sz w:val="30"/>
                <w:szCs w:val="30"/>
              </w:rPr>
            </w:pPr>
          </w:p>
          <w:tbl>
            <w:tblPr>
              <w:tblStyle w:val="6"/>
              <w:tblW w:w="15028" w:type="dxa"/>
              <w:jc w:val="center"/>
              <w:tblLayout w:type="fixed"/>
              <w:tblCellMar>
                <w:top w:w="0" w:type="dxa"/>
                <w:left w:w="108" w:type="dxa"/>
                <w:bottom w:w="0" w:type="dxa"/>
                <w:right w:w="108" w:type="dxa"/>
              </w:tblCellMar>
            </w:tblPr>
            <w:tblGrid>
              <w:gridCol w:w="3078"/>
              <w:gridCol w:w="604"/>
              <w:gridCol w:w="1160"/>
              <w:gridCol w:w="3462"/>
              <w:gridCol w:w="604"/>
              <w:gridCol w:w="1374"/>
              <w:gridCol w:w="1584"/>
              <w:gridCol w:w="1572"/>
              <w:gridCol w:w="1590"/>
            </w:tblGrid>
            <w:tr>
              <w:trPr>
                <w:trHeight w:val="503" w:hRule="atLeast"/>
                <w:jc w:val="center"/>
              </w:trPr>
              <w:tc>
                <w:tcPr>
                  <w:tcW w:w="5000" w:type="pct"/>
                  <w:gridSpan w:val="9"/>
                  <w:tcBorders>
                    <w:top w:val="nil"/>
                    <w:left w:val="nil"/>
                    <w:bottom w:val="nil"/>
                    <w:right w:val="single" w:color="808080" w:sz="4" w:space="0"/>
                  </w:tcBorders>
                  <w:shd w:val="clear" w:color="auto" w:fill="auto"/>
                  <w:noWrap/>
                  <w:vAlign w:val="center"/>
                </w:tcPr>
                <w:p>
                  <w:pPr>
                    <w:spacing w:line="300" w:lineRule="exact"/>
                    <w:ind w:firstLine="5400" w:firstLineChars="1800"/>
                    <w:jc w:val="left"/>
                    <w:rPr>
                      <w:rFonts w:ascii="宋体" w:hAnsi="宋体" w:eastAsia="宋体" w:cs="宋体"/>
                      <w:color w:val="000000"/>
                      <w:sz w:val="18"/>
                      <w:szCs w:val="18"/>
                    </w:rPr>
                  </w:pPr>
                  <w:r>
                    <w:rPr>
                      <w:rFonts w:hint="eastAsia" w:ascii="黑体" w:hAnsi="宋体" w:eastAsia="黑体" w:cs="黑体"/>
                      <w:color w:val="000000"/>
                      <w:kern w:val="0"/>
                      <w:sz w:val="30"/>
                      <w:szCs w:val="30"/>
                    </w:rPr>
                    <w:t>财政拨款收入支出决算总表</w:t>
                  </w:r>
                </w:p>
              </w:tc>
            </w:tr>
            <w:tr>
              <w:tblPrEx>
                <w:tblCellMar>
                  <w:top w:w="0" w:type="dxa"/>
                  <w:left w:w="108" w:type="dxa"/>
                  <w:bottom w:w="0" w:type="dxa"/>
                  <w:right w:w="108" w:type="dxa"/>
                </w:tblCellMar>
              </w:tblPrEx>
              <w:trPr>
                <w:trHeight w:val="215" w:hRule="atLeast"/>
                <w:jc w:val="center"/>
              </w:trPr>
              <w:tc>
                <w:tcPr>
                  <w:tcW w:w="1610" w:type="pct"/>
                  <w:gridSpan w:val="3"/>
                  <w:tcBorders>
                    <w:top w:val="nil"/>
                    <w:left w:val="nil"/>
                    <w:bottom w:val="single" w:color="808080" w:sz="4" w:space="0"/>
                    <w:right w:val="nil"/>
                  </w:tcBorders>
                  <w:shd w:val="clear" w:color="auto" w:fill="auto"/>
                  <w:noWrap/>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kern w:val="0"/>
                      <w:sz w:val="22"/>
                    </w:rPr>
                    <w:t>部门：湖南省煤田地质局水工环地质勘探队</w:t>
                  </w:r>
                </w:p>
              </w:tc>
              <w:tc>
                <w:tcPr>
                  <w:tcW w:w="3389" w:type="pct"/>
                  <w:gridSpan w:val="6"/>
                  <w:tcBorders>
                    <w:top w:val="nil"/>
                    <w:left w:val="nil"/>
                    <w:bottom w:val="single" w:color="808080" w:sz="4" w:space="0"/>
                    <w:right w:val="single" w:color="808080" w:sz="4" w:space="0"/>
                  </w:tcBorders>
                  <w:shd w:val="clear" w:color="auto" w:fill="auto"/>
                  <w:noWrap/>
                  <w:vAlign w:val="center"/>
                </w:tcPr>
                <w:p>
                  <w:pPr>
                    <w:widowControl/>
                    <w:spacing w:line="240" w:lineRule="exact"/>
                    <w:ind w:firstLine="7200" w:firstLineChars="400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金额单位：万元公开04表</w:t>
                  </w:r>
                </w:p>
              </w:tc>
            </w:tr>
            <w:tr>
              <w:tblPrEx>
                <w:tblCellMar>
                  <w:top w:w="0" w:type="dxa"/>
                  <w:left w:w="108" w:type="dxa"/>
                  <w:bottom w:w="0" w:type="dxa"/>
                  <w:right w:w="108" w:type="dxa"/>
                </w:tblCellMar>
              </w:tblPrEx>
              <w:trPr>
                <w:trHeight w:val="136" w:hRule="atLeast"/>
                <w:jc w:val="center"/>
              </w:trPr>
              <w:tc>
                <w:tcPr>
                  <w:tcW w:w="161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收     入</w:t>
                  </w:r>
                </w:p>
              </w:tc>
              <w:tc>
                <w:tcPr>
                  <w:tcW w:w="3389" w:type="pct"/>
                  <w:gridSpan w:val="6"/>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     出</w:t>
                  </w:r>
                </w:p>
              </w:tc>
            </w:tr>
            <w:tr>
              <w:tblPrEx>
                <w:tblCellMar>
                  <w:top w:w="0" w:type="dxa"/>
                  <w:left w:w="108" w:type="dxa"/>
                  <w:bottom w:w="0" w:type="dxa"/>
                  <w:right w:w="108" w:type="dxa"/>
                </w:tblCellMar>
              </w:tblPrEx>
              <w:trPr>
                <w:trHeight w:val="312" w:hRule="atLeast"/>
                <w:jc w:val="center"/>
              </w:trPr>
              <w:tc>
                <w:tcPr>
                  <w:tcW w:w="102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200" w:type="pct"/>
                  <w:vMerge w:val="restart"/>
                  <w:tcBorders>
                    <w:top w:val="nil"/>
                    <w:left w:val="nil"/>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385" w:type="pct"/>
                  <w:vMerge w:val="restart"/>
                  <w:tcBorders>
                    <w:top w:val="nil"/>
                    <w:left w:val="nil"/>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1151" w:type="pct"/>
                  <w:vMerge w:val="restart"/>
                  <w:tcBorders>
                    <w:top w:val="nil"/>
                    <w:left w:val="nil"/>
                    <w:bottom w:val="single" w:color="000000" w:sz="4" w:space="0"/>
                    <w:right w:val="single" w:color="000000" w:sz="4" w:space="0"/>
                  </w:tcBorders>
                  <w:shd w:val="clear" w:color="auto" w:fill="auto"/>
                  <w:vAlign w:val="bottom"/>
                </w:tcPr>
                <w:p>
                  <w:pPr>
                    <w:widowControl/>
                    <w:spacing w:line="24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200" w:type="pct"/>
                  <w:vMerge w:val="restart"/>
                  <w:tcBorders>
                    <w:top w:val="nil"/>
                    <w:left w:val="nil"/>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457" w:type="pct"/>
                  <w:vMerge w:val="restar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527" w:type="pct"/>
                  <w:vMerge w:val="restart"/>
                  <w:tcBorders>
                    <w:top w:val="nil"/>
                    <w:left w:val="nil"/>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523" w:type="pct"/>
                  <w:vMerge w:val="restart"/>
                  <w:tcBorders>
                    <w:top w:val="nil"/>
                    <w:left w:val="nil"/>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c>
                <w:tcPr>
                  <w:tcW w:w="529" w:type="pct"/>
                  <w:vMerge w:val="restart"/>
                  <w:tcBorders>
                    <w:top w:val="nil"/>
                    <w:left w:val="nil"/>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国有资本经营预算财政拨款</w:t>
                  </w:r>
                </w:p>
              </w:tc>
            </w:tr>
            <w:tr>
              <w:tblPrEx>
                <w:tblCellMar>
                  <w:top w:w="0" w:type="dxa"/>
                  <w:left w:w="108" w:type="dxa"/>
                  <w:bottom w:w="0" w:type="dxa"/>
                  <w:right w:w="108" w:type="dxa"/>
                </w:tblCellMar>
              </w:tblPrEx>
              <w:trPr>
                <w:trHeight w:val="312" w:hRule="atLeast"/>
                <w:jc w:val="center"/>
              </w:trPr>
              <w:tc>
                <w:tcPr>
                  <w:tcW w:w="1024" w:type="pct"/>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eastAsia="宋体" w:cs="宋体"/>
                      <w:color w:val="000000"/>
                      <w:sz w:val="18"/>
                      <w:szCs w:val="18"/>
                    </w:rPr>
                  </w:pPr>
                </w:p>
              </w:tc>
              <w:tc>
                <w:tcPr>
                  <w:tcW w:w="200" w:type="pct"/>
                  <w:vMerge w:val="continue"/>
                  <w:tcBorders>
                    <w:top w:val="nil"/>
                    <w:left w:val="nil"/>
                    <w:bottom w:val="single" w:color="000000" w:sz="4" w:space="0"/>
                    <w:right w:val="single" w:color="000000" w:sz="4" w:space="0"/>
                  </w:tcBorders>
                  <w:shd w:val="clear" w:color="auto" w:fill="auto"/>
                  <w:vAlign w:val="center"/>
                </w:tcPr>
                <w:p>
                  <w:pPr>
                    <w:spacing w:line="240" w:lineRule="exact"/>
                    <w:rPr>
                      <w:rFonts w:ascii="宋体" w:hAnsi="宋体" w:eastAsia="宋体" w:cs="宋体"/>
                      <w:color w:val="000000"/>
                      <w:sz w:val="18"/>
                      <w:szCs w:val="18"/>
                    </w:rPr>
                  </w:pPr>
                </w:p>
              </w:tc>
              <w:tc>
                <w:tcPr>
                  <w:tcW w:w="385" w:type="pct"/>
                  <w:vMerge w:val="continue"/>
                  <w:tcBorders>
                    <w:top w:val="nil"/>
                    <w:left w:val="nil"/>
                    <w:bottom w:val="single" w:color="000000" w:sz="4" w:space="0"/>
                    <w:right w:val="single" w:color="000000" w:sz="4" w:space="0"/>
                  </w:tcBorders>
                  <w:shd w:val="clear" w:color="auto" w:fill="auto"/>
                  <w:vAlign w:val="center"/>
                </w:tcPr>
                <w:p>
                  <w:pPr>
                    <w:spacing w:line="240" w:lineRule="exact"/>
                    <w:rPr>
                      <w:rFonts w:ascii="宋体" w:hAnsi="宋体" w:eastAsia="宋体" w:cs="宋体"/>
                      <w:color w:val="000000"/>
                      <w:sz w:val="18"/>
                      <w:szCs w:val="18"/>
                    </w:rPr>
                  </w:pPr>
                </w:p>
              </w:tc>
              <w:tc>
                <w:tcPr>
                  <w:tcW w:w="1151" w:type="pct"/>
                  <w:vMerge w:val="continue"/>
                  <w:tcBorders>
                    <w:top w:val="nil"/>
                    <w:left w:val="nil"/>
                    <w:bottom w:val="single" w:color="000000" w:sz="4" w:space="0"/>
                    <w:right w:val="single" w:color="000000" w:sz="4" w:space="0"/>
                  </w:tcBorders>
                  <w:shd w:val="clear" w:color="auto" w:fill="auto"/>
                  <w:vAlign w:val="bottom"/>
                </w:tcPr>
                <w:p>
                  <w:pPr>
                    <w:spacing w:line="240" w:lineRule="exact"/>
                    <w:rPr>
                      <w:rFonts w:ascii="宋体" w:hAnsi="宋体" w:eastAsia="宋体" w:cs="宋体"/>
                      <w:color w:val="000000"/>
                      <w:sz w:val="18"/>
                      <w:szCs w:val="18"/>
                    </w:rPr>
                  </w:pPr>
                </w:p>
              </w:tc>
              <w:tc>
                <w:tcPr>
                  <w:tcW w:w="200" w:type="pct"/>
                  <w:vMerge w:val="continue"/>
                  <w:tcBorders>
                    <w:top w:val="nil"/>
                    <w:left w:val="nil"/>
                    <w:bottom w:val="single" w:color="000000" w:sz="4" w:space="0"/>
                    <w:right w:val="single" w:color="000000" w:sz="4" w:space="0"/>
                  </w:tcBorders>
                  <w:shd w:val="clear" w:color="auto" w:fill="auto"/>
                  <w:vAlign w:val="center"/>
                </w:tcPr>
                <w:p>
                  <w:pPr>
                    <w:spacing w:line="240" w:lineRule="exact"/>
                    <w:rPr>
                      <w:rFonts w:ascii="宋体" w:hAnsi="宋体" w:eastAsia="宋体" w:cs="宋体"/>
                      <w:color w:val="000000"/>
                      <w:sz w:val="18"/>
                      <w:szCs w:val="18"/>
                    </w:rPr>
                  </w:pPr>
                </w:p>
              </w:tc>
              <w:tc>
                <w:tcPr>
                  <w:tcW w:w="457" w:type="pct"/>
                  <w:vMerge w:val="continue"/>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vMerge w:val="continue"/>
                  <w:tcBorders>
                    <w:top w:val="nil"/>
                    <w:left w:val="nil"/>
                    <w:bottom w:val="single" w:color="000000" w:sz="4" w:space="0"/>
                    <w:right w:val="single" w:color="000000" w:sz="4" w:space="0"/>
                  </w:tcBorders>
                  <w:shd w:val="clear" w:color="auto" w:fill="auto"/>
                  <w:vAlign w:val="center"/>
                </w:tcPr>
                <w:p>
                  <w:pPr>
                    <w:spacing w:line="240" w:lineRule="exact"/>
                    <w:rPr>
                      <w:rFonts w:ascii="宋体" w:hAnsi="宋体" w:eastAsia="宋体" w:cs="宋体"/>
                      <w:color w:val="000000"/>
                      <w:sz w:val="18"/>
                      <w:szCs w:val="18"/>
                    </w:rPr>
                  </w:pPr>
                </w:p>
              </w:tc>
              <w:tc>
                <w:tcPr>
                  <w:tcW w:w="523" w:type="pct"/>
                  <w:vMerge w:val="continue"/>
                  <w:tcBorders>
                    <w:top w:val="nil"/>
                    <w:left w:val="nil"/>
                    <w:bottom w:val="single" w:color="000000" w:sz="4" w:space="0"/>
                    <w:right w:val="single" w:color="000000" w:sz="4" w:space="0"/>
                  </w:tcBorders>
                  <w:shd w:val="clear" w:color="auto" w:fill="auto"/>
                  <w:vAlign w:val="center"/>
                </w:tcPr>
                <w:p>
                  <w:pPr>
                    <w:spacing w:line="240" w:lineRule="exact"/>
                    <w:rPr>
                      <w:rFonts w:ascii="宋体" w:hAnsi="宋体" w:eastAsia="宋体" w:cs="宋体"/>
                      <w:color w:val="000000"/>
                      <w:sz w:val="18"/>
                      <w:szCs w:val="18"/>
                    </w:rPr>
                  </w:pPr>
                </w:p>
              </w:tc>
              <w:tc>
                <w:tcPr>
                  <w:tcW w:w="529" w:type="pct"/>
                  <w:vMerge w:val="continue"/>
                  <w:tcBorders>
                    <w:top w:val="nil"/>
                    <w:left w:val="nil"/>
                    <w:bottom w:val="single" w:color="000000" w:sz="4" w:space="0"/>
                    <w:right w:val="single" w:color="000000" w:sz="4" w:space="0"/>
                  </w:tcBorders>
                  <w:shd w:val="clear" w:color="auto" w:fill="auto"/>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200"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385"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151" w:type="pct"/>
                  <w:tcBorders>
                    <w:top w:val="nil"/>
                    <w:left w:val="nil"/>
                    <w:bottom w:val="single" w:color="000000" w:sz="4" w:space="0"/>
                    <w:right w:val="single" w:color="000000" w:sz="4" w:space="0"/>
                  </w:tcBorders>
                  <w:shd w:val="clear" w:color="auto" w:fill="auto"/>
                  <w:noWrap/>
                  <w:vAlign w:val="bottom"/>
                </w:tcPr>
                <w:p>
                  <w:pPr>
                    <w:widowControl/>
                    <w:spacing w:line="24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200"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23"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29"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5"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1,257.69</w:t>
                  </w: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三、国有资本经营财政拨款</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3.50</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3.50</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168.07</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168.07</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80.63</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80.63</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412.08</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412.08</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650.38</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650.38</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111.21</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111.21</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二十一、国有资本经营预算支出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二十二、灾害防治及应急管理支出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80.00</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80.00</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二十三、其他支出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55</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b/>
                      <w:bCs/>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二十四、债务还本支出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二十五、债务付息支出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57</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二十六、抗疫特别国债安排的支出</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58</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本年收入合计</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385"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1,257.69</w:t>
                  </w: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本年支出合计</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59</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1,505.87</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1,505.87</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年初财政拨款结转和结余</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385"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248.48</w:t>
                  </w: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年末财政拨款结转和结余</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60</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0.30</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0.30</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一般公共预算财政拨款</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385"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248.48</w:t>
                  </w:r>
                </w:p>
              </w:tc>
              <w:tc>
                <w:tcPr>
                  <w:tcW w:w="1151"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61</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政府性基金预算财政拨款</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62</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国有资本经营预算财政拨款</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385"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1151"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63</w:t>
                  </w:r>
                </w:p>
              </w:tc>
              <w:tc>
                <w:tcPr>
                  <w:tcW w:w="45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7"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102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总计</w:t>
                  </w:r>
                </w:p>
              </w:tc>
              <w:tc>
                <w:tcPr>
                  <w:tcW w:w="200" w:type="pct"/>
                  <w:tcBorders>
                    <w:top w:val="nil"/>
                    <w:left w:val="nil"/>
                    <w:bottom w:val="single" w:color="000000" w:sz="12"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385"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1,506.17</w:t>
                  </w:r>
                </w:p>
              </w:tc>
              <w:tc>
                <w:tcPr>
                  <w:tcW w:w="1151"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总计</w:t>
                  </w:r>
                </w:p>
              </w:tc>
              <w:tc>
                <w:tcPr>
                  <w:tcW w:w="200"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w:t>
                  </w:r>
                </w:p>
              </w:tc>
              <w:tc>
                <w:tcPr>
                  <w:tcW w:w="45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1,506.17</w:t>
                  </w:r>
                </w:p>
              </w:tc>
              <w:tc>
                <w:tcPr>
                  <w:tcW w:w="527" w:type="pct"/>
                  <w:tcBorders>
                    <w:top w:val="nil"/>
                    <w:left w:val="nil"/>
                    <w:bottom w:val="single" w:color="000000" w:sz="4" w:space="0"/>
                    <w:right w:val="single" w:color="000000" w:sz="4" w:space="0"/>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1,506.17</w:t>
                  </w:r>
                </w:p>
              </w:tc>
              <w:tc>
                <w:tcPr>
                  <w:tcW w:w="523"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c>
                <w:tcPr>
                  <w:tcW w:w="529" w:type="pct"/>
                  <w:tcBorders>
                    <w:top w:val="nil"/>
                    <w:left w:val="nil"/>
                    <w:bottom w:val="single" w:color="000000" w:sz="4" w:space="0"/>
                    <w:right w:val="single" w:color="000000" w:sz="4" w:space="0"/>
                  </w:tcBorders>
                  <w:shd w:val="clear" w:color="auto" w:fill="auto"/>
                  <w:noWrap/>
                  <w:vAlign w:val="center"/>
                </w:tcPr>
                <w:p>
                  <w:pPr>
                    <w:spacing w:line="240" w:lineRule="exact"/>
                    <w:rPr>
                      <w:rFonts w:ascii="宋体" w:hAnsi="宋体" w:eastAsia="宋体" w:cs="宋体"/>
                      <w:color w:val="000000"/>
                      <w:sz w:val="18"/>
                      <w:szCs w:val="18"/>
                    </w:rPr>
                  </w:pPr>
                </w:p>
              </w:tc>
            </w:tr>
            <w:tr>
              <w:trPr>
                <w:trHeight w:val="136" w:hRule="atLeast"/>
                <w:jc w:val="center"/>
              </w:trPr>
              <w:tc>
                <w:tcPr>
                  <w:tcW w:w="4470" w:type="pct"/>
                  <w:gridSpan w:val="8"/>
                  <w:tcBorders>
                    <w:top w:val="nil"/>
                    <w:left w:val="nil"/>
                    <w:bottom w:val="nil"/>
                    <w:right w:val="nil"/>
                  </w:tcBorders>
                  <w:shd w:val="clear" w:color="auto" w:fill="auto"/>
                  <w:noWrap/>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注：本表反映部门本年度一般公共预算财政拨款、政府性基金预算财政拨款和国有资本经营预算财政拨款的总收支和年末结转结余情况。</w:t>
                  </w:r>
                </w:p>
              </w:tc>
              <w:tc>
                <w:tcPr>
                  <w:tcW w:w="529" w:type="pct"/>
                  <w:tcBorders>
                    <w:top w:val="nil"/>
                    <w:left w:val="nil"/>
                    <w:bottom w:val="nil"/>
                    <w:right w:val="nil"/>
                  </w:tcBorders>
                  <w:shd w:val="clear" w:color="auto" w:fill="auto"/>
                  <w:noWrap/>
                  <w:vAlign w:val="center"/>
                </w:tcPr>
                <w:p>
                  <w:pPr>
                    <w:spacing w:line="240" w:lineRule="exact"/>
                    <w:rPr>
                      <w:rFonts w:ascii="宋体" w:hAnsi="宋体" w:eastAsia="宋体" w:cs="宋体"/>
                      <w:color w:val="000000"/>
                      <w:sz w:val="18"/>
                      <w:szCs w:val="18"/>
                    </w:rPr>
                  </w:pPr>
                </w:p>
              </w:tc>
            </w:tr>
          </w:tbl>
          <w:p>
            <w:pPr>
              <w:widowControl/>
              <w:spacing w:line="200" w:lineRule="atLeast"/>
              <w:jc w:val="left"/>
              <w:textAlignment w:val="center"/>
              <w:rPr>
                <w:rFonts w:ascii="宋体" w:hAnsi="宋体" w:eastAsia="宋体" w:cs="宋体"/>
                <w:color w:val="000000"/>
                <w:kern w:val="0"/>
                <w:sz w:val="20"/>
                <w:szCs w:val="20"/>
              </w:rPr>
            </w:pPr>
          </w:p>
        </w:tc>
      </w:tr>
    </w:tbl>
    <w:p>
      <w:pPr>
        <w:jc w:val="left"/>
        <w:rPr>
          <w:rFonts w:ascii="宋体" w:hAnsi="宋体" w:eastAsia="宋体" w:cs="宋体"/>
          <w:color w:val="000000"/>
          <w:sz w:val="18"/>
          <w:szCs w:val="18"/>
        </w:rPr>
        <w:sectPr>
          <w:pgSz w:w="16838" w:h="11906" w:orient="landscape"/>
          <w:pgMar w:top="454" w:right="993" w:bottom="454" w:left="1135" w:header="851" w:footer="992" w:gutter="0"/>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463"/>
        <w:gridCol w:w="466"/>
        <w:gridCol w:w="466"/>
        <w:gridCol w:w="5549"/>
        <w:gridCol w:w="2543"/>
        <w:gridCol w:w="2460"/>
        <w:gridCol w:w="2979"/>
      </w:tblGrid>
      <w:tr>
        <w:tblPrEx>
          <w:tblCellMar>
            <w:top w:w="0" w:type="dxa"/>
            <w:left w:w="108" w:type="dxa"/>
            <w:bottom w:w="0" w:type="dxa"/>
            <w:right w:w="108" w:type="dxa"/>
          </w:tblCellMar>
        </w:tblPrEx>
        <w:trPr>
          <w:trHeight w:val="375" w:hRule="atLeast"/>
          <w:jc w:val="center"/>
        </w:trPr>
        <w:tc>
          <w:tcPr>
            <w:tcW w:w="155"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535" w:type="pct"/>
            <w:gridSpan w:val="3"/>
            <w:tcBorders>
              <w:top w:val="nil"/>
              <w:left w:val="nil"/>
              <w:bottom w:val="nil"/>
              <w:right w:val="nil"/>
            </w:tcBorders>
            <w:shd w:val="clear" w:color="auto" w:fill="FFFFFF"/>
            <w:noWrap/>
            <w:vAlign w:val="center"/>
          </w:tcPr>
          <w:p>
            <w:pPr>
              <w:ind w:firstLine="3900" w:firstLineChars="1300"/>
              <w:jc w:val="left"/>
              <w:rPr>
                <w:rFonts w:ascii="宋体" w:hAnsi="宋体" w:eastAsia="宋体" w:cs="宋体"/>
                <w:color w:val="000000"/>
                <w:sz w:val="18"/>
                <w:szCs w:val="18"/>
              </w:rPr>
            </w:pPr>
            <w:r>
              <w:rPr>
                <w:rFonts w:hint="eastAsia" w:ascii="黑体" w:hAnsi="宋体" w:eastAsia="黑体" w:cs="黑体"/>
                <w:color w:val="000000"/>
                <w:kern w:val="0"/>
                <w:sz w:val="30"/>
                <w:szCs w:val="30"/>
              </w:rPr>
              <w:t>一般公共预算财政拨款支出决算表</w:t>
            </w:r>
          </w:p>
        </w:tc>
        <w:tc>
          <w:tcPr>
            <w:tcW w:w="996" w:type="pct"/>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jc w:val="center"/>
        </w:trPr>
        <w:tc>
          <w:tcPr>
            <w:tcW w:w="155"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858"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52"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24"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996" w:type="pct"/>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公开05表</w:t>
            </w:r>
          </w:p>
        </w:tc>
      </w:tr>
      <w:tr>
        <w:tblPrEx>
          <w:tblCellMar>
            <w:top w:w="0" w:type="dxa"/>
            <w:left w:w="108" w:type="dxa"/>
            <w:bottom w:w="0" w:type="dxa"/>
            <w:right w:w="108" w:type="dxa"/>
          </w:tblCellMar>
        </w:tblPrEx>
        <w:trPr>
          <w:trHeight w:val="300" w:hRule="atLeast"/>
          <w:jc w:val="center"/>
        </w:trPr>
        <w:tc>
          <w:tcPr>
            <w:tcW w:w="2326" w:type="pct"/>
            <w:gridSpan w:val="4"/>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部门：湖南省煤田地质局水工环地质勘探队</w:t>
            </w:r>
          </w:p>
        </w:tc>
        <w:tc>
          <w:tcPr>
            <w:tcW w:w="852"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824"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996" w:type="pct"/>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jc w:val="center"/>
        </w:trPr>
        <w:tc>
          <w:tcPr>
            <w:tcW w:w="2326"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673" w:type="pct"/>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12" w:hRule="atLeast"/>
          <w:jc w:val="center"/>
        </w:trPr>
        <w:tc>
          <w:tcPr>
            <w:tcW w:w="467"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功能分类科目编码</w:t>
            </w:r>
          </w:p>
        </w:tc>
        <w:tc>
          <w:tcPr>
            <w:tcW w:w="1858" w:type="pct"/>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852"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824"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996"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12" w:hRule="atLeast"/>
          <w:jc w:val="center"/>
        </w:trPr>
        <w:tc>
          <w:tcPr>
            <w:tcW w:w="46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58"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852"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4"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96"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46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58" w:type="pct"/>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852"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24"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96"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2326"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996" w:type="pc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2326"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1,505.87</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1,344.09</w:t>
            </w:r>
          </w:p>
        </w:tc>
        <w:tc>
          <w:tcPr>
            <w:tcW w:w="99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161.78</w:t>
            </w: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205</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教育支出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20508</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进修及培训</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3.50</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3.50</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3.50</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208</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社会保障和就业支出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20805</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行政事业单位养老支出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168.07</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168.07</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168.07</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210</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卫生健康支出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21011</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行政事业单位医疗</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80.63</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2101102</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事业单位医疗</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80.63</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80.63</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215</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资源勘探工业信息等支出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412.08</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330.30</w:t>
            </w:r>
          </w:p>
        </w:tc>
        <w:tc>
          <w:tcPr>
            <w:tcW w:w="99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81.78</w:t>
            </w: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21501</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资源勘探开发</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412.08</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330.30</w:t>
            </w:r>
          </w:p>
        </w:tc>
        <w:tc>
          <w:tcPr>
            <w:tcW w:w="99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81.78</w:t>
            </w: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2150199</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其他资源勘探业支出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412.08</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330.30</w:t>
            </w:r>
          </w:p>
        </w:tc>
        <w:tc>
          <w:tcPr>
            <w:tcW w:w="99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81.78</w:t>
            </w: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220</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自然资源海洋气象等支出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650.38</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650.38</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22001</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自然资源事务</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650.38</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650.38</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2200150</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事业运行</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650.38</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650.38</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221</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住房保障支出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22102</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住房改革支出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111.21</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111.21</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111.21</w:t>
            </w:r>
          </w:p>
        </w:tc>
        <w:tc>
          <w:tcPr>
            <w:tcW w:w="99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224</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灾害防治及应急管理支出</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80.00</w:t>
            </w:r>
          </w:p>
        </w:tc>
        <w:tc>
          <w:tcPr>
            <w:tcW w:w="82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99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80.00</w:t>
            </w: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22406</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自然灾害防治</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80.00</w:t>
            </w:r>
          </w:p>
        </w:tc>
        <w:tc>
          <w:tcPr>
            <w:tcW w:w="82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0"/>
                <w:szCs w:val="20"/>
              </w:rPr>
            </w:pPr>
          </w:p>
        </w:tc>
        <w:tc>
          <w:tcPr>
            <w:tcW w:w="99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80.00</w:t>
            </w:r>
          </w:p>
        </w:tc>
      </w:tr>
      <w:tr>
        <w:tblPrEx>
          <w:tblCellMar>
            <w:top w:w="0" w:type="dxa"/>
            <w:left w:w="108" w:type="dxa"/>
            <w:bottom w:w="0" w:type="dxa"/>
            <w:right w:w="108" w:type="dxa"/>
          </w:tblCellMar>
        </w:tblPrEx>
        <w:trPr>
          <w:trHeight w:val="300" w:hRule="atLeast"/>
          <w:jc w:val="center"/>
        </w:trPr>
        <w:tc>
          <w:tcPr>
            <w:tcW w:w="467"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2240601</w:t>
            </w:r>
          </w:p>
        </w:tc>
        <w:tc>
          <w:tcPr>
            <w:tcW w:w="1858"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地质灾害防治</w:t>
            </w:r>
          </w:p>
        </w:tc>
        <w:tc>
          <w:tcPr>
            <w:tcW w:w="8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80.00</w:t>
            </w:r>
          </w:p>
        </w:tc>
        <w:tc>
          <w:tcPr>
            <w:tcW w:w="82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9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80.00</w:t>
            </w:r>
          </w:p>
        </w:tc>
      </w:tr>
      <w:tr>
        <w:tblPrEx>
          <w:tblCellMar>
            <w:top w:w="0" w:type="dxa"/>
            <w:left w:w="108" w:type="dxa"/>
            <w:bottom w:w="0" w:type="dxa"/>
            <w:right w:w="108" w:type="dxa"/>
          </w:tblCellMar>
        </w:tblPrEx>
        <w:trPr>
          <w:trHeight w:val="300" w:hRule="atLeast"/>
          <w:jc w:val="center"/>
        </w:trPr>
        <w:tc>
          <w:tcPr>
            <w:tcW w:w="5000" w:type="pct"/>
            <w:gridSpan w:val="7"/>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注：本表反映部门本年度一般公共预算财政拨款支出情况。</w:t>
            </w:r>
          </w:p>
        </w:tc>
      </w:tr>
    </w:tbl>
    <w:p>
      <w:pPr>
        <w:jc w:val="left"/>
        <w:rPr>
          <w:rFonts w:ascii="宋体" w:hAnsi="宋体" w:eastAsia="宋体" w:cs="宋体"/>
          <w:color w:val="000000"/>
          <w:sz w:val="22"/>
        </w:rPr>
        <w:sectPr>
          <w:pgSz w:w="16838" w:h="11906" w:orient="landscape"/>
          <w:pgMar w:top="851" w:right="993" w:bottom="709" w:left="1135" w:header="851" w:footer="992" w:gutter="0"/>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716"/>
        <w:gridCol w:w="3365"/>
        <w:gridCol w:w="1088"/>
        <w:gridCol w:w="716"/>
        <w:gridCol w:w="2377"/>
        <w:gridCol w:w="1104"/>
        <w:gridCol w:w="717"/>
        <w:gridCol w:w="4023"/>
        <w:gridCol w:w="820"/>
      </w:tblGrid>
      <w:tr>
        <w:tblPrEx>
          <w:tblCellMar>
            <w:top w:w="0" w:type="dxa"/>
            <w:left w:w="108" w:type="dxa"/>
            <w:bottom w:w="0" w:type="dxa"/>
            <w:right w:w="108" w:type="dxa"/>
          </w:tblCellMar>
        </w:tblPrEx>
        <w:trPr>
          <w:trHeight w:val="510" w:hRule="exact"/>
          <w:jc w:val="center"/>
        </w:trPr>
        <w:tc>
          <w:tcPr>
            <w:tcW w:w="239" w:type="pct"/>
            <w:tcBorders>
              <w:top w:val="nil"/>
              <w:left w:val="nil"/>
              <w:bottom w:val="nil"/>
              <w:right w:val="nil"/>
            </w:tcBorders>
            <w:shd w:val="clear" w:color="auto" w:fill="auto"/>
            <w:noWrap/>
            <w:vAlign w:val="center"/>
          </w:tcPr>
          <w:p>
            <w:pPr>
              <w:jc w:val="left"/>
              <w:rPr>
                <w:rFonts w:ascii="宋体" w:hAnsi="宋体" w:eastAsia="宋体" w:cs="宋体"/>
                <w:color w:val="000000"/>
                <w:sz w:val="22"/>
              </w:rPr>
            </w:pPr>
          </w:p>
        </w:tc>
        <w:tc>
          <w:tcPr>
            <w:tcW w:w="4486" w:type="pct"/>
            <w:gridSpan w:val="7"/>
            <w:tcBorders>
              <w:top w:val="nil"/>
              <w:left w:val="nil"/>
              <w:bottom w:val="nil"/>
              <w:right w:val="nil"/>
            </w:tcBorders>
            <w:shd w:val="clear" w:color="auto" w:fill="auto"/>
            <w:noWrap/>
            <w:vAlign w:val="center"/>
          </w:tcPr>
          <w:p>
            <w:pPr>
              <w:ind w:firstLine="3900" w:firstLineChars="1300"/>
              <w:jc w:val="left"/>
              <w:rPr>
                <w:rFonts w:ascii="宋体" w:hAnsi="宋体" w:eastAsia="宋体" w:cs="宋体"/>
                <w:color w:val="000000"/>
                <w:sz w:val="18"/>
                <w:szCs w:val="18"/>
              </w:rPr>
            </w:pPr>
            <w:r>
              <w:rPr>
                <w:rFonts w:hint="eastAsia" w:ascii="黑体" w:hAnsi="宋体" w:eastAsia="黑体" w:cs="黑体"/>
                <w:color w:val="000000"/>
                <w:kern w:val="0"/>
                <w:sz w:val="30"/>
                <w:szCs w:val="30"/>
              </w:rPr>
              <w:t>一般公共预算财政拨款基本支出决算表</w:t>
            </w:r>
          </w:p>
        </w:tc>
        <w:tc>
          <w:tcPr>
            <w:tcW w:w="273" w:type="pct"/>
            <w:tcBorders>
              <w:top w:val="nil"/>
              <w:left w:val="nil"/>
              <w:bottom w:val="nil"/>
              <w:right w:val="single" w:color="808080" w:sz="4"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jc w:val="center"/>
        </w:trPr>
        <w:tc>
          <w:tcPr>
            <w:tcW w:w="239" w:type="pct"/>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27" w:type="pct"/>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65" w:type="pct"/>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39" w:type="pct"/>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797" w:type="pct"/>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70" w:type="pct"/>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859" w:type="pct"/>
            <w:gridSpan w:val="3"/>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108" w:type="dxa"/>
            <w:bottom w:w="0" w:type="dxa"/>
            <w:right w:w="108" w:type="dxa"/>
          </w:tblCellMar>
        </w:tblPrEx>
        <w:trPr>
          <w:trHeight w:val="300" w:hRule="atLeast"/>
          <w:jc w:val="center"/>
        </w:trPr>
        <w:tc>
          <w:tcPr>
            <w:tcW w:w="1732" w:type="pct"/>
            <w:gridSpan w:val="3"/>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部门：湖南省煤田地质局水工环地质勘探队</w:t>
            </w:r>
          </w:p>
        </w:tc>
        <w:tc>
          <w:tcPr>
            <w:tcW w:w="239" w:type="pct"/>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797" w:type="pct"/>
            <w:tcBorders>
              <w:top w:val="nil"/>
              <w:left w:val="nil"/>
              <w:bottom w:val="single" w:color="808080" w:sz="4" w:space="0"/>
              <w:right w:val="nil"/>
            </w:tcBorders>
            <w:shd w:val="clear" w:color="auto" w:fill="auto"/>
            <w:noWrap/>
            <w:vAlign w:val="center"/>
          </w:tcPr>
          <w:p>
            <w:pPr>
              <w:jc w:val="center"/>
              <w:rPr>
                <w:rFonts w:ascii="宋体" w:hAnsi="宋体" w:eastAsia="宋体" w:cs="宋体"/>
                <w:color w:val="000000"/>
                <w:sz w:val="22"/>
              </w:rPr>
            </w:pPr>
          </w:p>
        </w:tc>
        <w:tc>
          <w:tcPr>
            <w:tcW w:w="370" w:type="pct"/>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859" w:type="pct"/>
            <w:gridSpan w:val="3"/>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108" w:type="dxa"/>
            <w:bottom w:w="0" w:type="dxa"/>
            <w:right w:w="108" w:type="dxa"/>
          </w:tblCellMar>
        </w:tblPrEx>
        <w:trPr>
          <w:trHeight w:val="255" w:hRule="exact"/>
          <w:jc w:val="center"/>
        </w:trPr>
        <w:tc>
          <w:tcPr>
            <w:tcW w:w="17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w:t>
            </w:r>
          </w:p>
        </w:tc>
        <w:tc>
          <w:tcPr>
            <w:tcW w:w="3267" w:type="pct"/>
            <w:gridSpan w:val="6"/>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255" w:hRule="exact"/>
          <w:jc w:val="center"/>
        </w:trPr>
        <w:tc>
          <w:tcPr>
            <w:tcW w:w="2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112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36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23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797"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370"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239"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1345"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273" w:type="pct"/>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108" w:type="dxa"/>
            <w:bottom w:w="0" w:type="dxa"/>
            <w:right w:w="108" w:type="dxa"/>
          </w:tblCellMar>
        </w:tblPrEx>
        <w:trPr>
          <w:trHeight w:val="255" w:hRule="exact"/>
          <w:jc w:val="center"/>
        </w:trPr>
        <w:tc>
          <w:tcPr>
            <w:tcW w:w="23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2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97"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70"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9"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45"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3" w:type="pct"/>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1,199.51</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130.58</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222.55</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110.70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330.30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176.05</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148.23</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80.63</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7.63</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19.84</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111.21</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5.52</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2.27</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0.30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3.34</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7.80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345"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0.12</w:t>
            </w:r>
          </w:p>
        </w:tc>
        <w:tc>
          <w:tcPr>
            <w:tcW w:w="23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345"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12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0.46</w:t>
            </w: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3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345"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jc w:val="center"/>
        </w:trPr>
        <w:tc>
          <w:tcPr>
            <w:tcW w:w="239"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127"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3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17.75</w:t>
            </w:r>
          </w:p>
        </w:tc>
        <w:tc>
          <w:tcPr>
            <w:tcW w:w="23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345"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255" w:hRule="exact"/>
          <w:jc w:val="center"/>
        </w:trPr>
        <w:tc>
          <w:tcPr>
            <w:tcW w:w="13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36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1,213.51</w:t>
            </w:r>
          </w:p>
        </w:tc>
        <w:tc>
          <w:tcPr>
            <w:tcW w:w="2993" w:type="pct"/>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27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130.58</w:t>
            </w:r>
          </w:p>
        </w:tc>
      </w:tr>
      <w:tr>
        <w:tblPrEx>
          <w:tblCellMar>
            <w:top w:w="0" w:type="dxa"/>
            <w:left w:w="108" w:type="dxa"/>
            <w:bottom w:w="0" w:type="dxa"/>
            <w:right w:w="108" w:type="dxa"/>
          </w:tblCellMar>
        </w:tblPrEx>
        <w:trPr>
          <w:trHeight w:val="300" w:hRule="atLeast"/>
          <w:jc w:val="center"/>
        </w:trPr>
        <w:tc>
          <w:tcPr>
            <w:tcW w:w="5000" w:type="pct"/>
            <w:gridSpan w:val="9"/>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注：本表反映部门本年度一般公共预算财政拨款基本支出明细情况。</w:t>
            </w:r>
          </w:p>
        </w:tc>
      </w:tr>
    </w:tbl>
    <w:p>
      <w:pPr>
        <w:widowControl/>
        <w:jc w:val="center"/>
        <w:rPr>
          <w:rFonts w:ascii="Times New Roman" w:hAnsi="Times New Roman" w:eastAsia="方正小标宋_GBK" w:cs="Times New Roman"/>
          <w:kern w:val="0"/>
          <w:sz w:val="36"/>
          <w:szCs w:val="36"/>
        </w:rPr>
      </w:pPr>
    </w:p>
    <w:bookmarkEnd w:id="0"/>
    <w:p>
      <w:pPr>
        <w:widowControl/>
        <w:ind w:firstLine="3000" w:firstLineChars="1000"/>
        <w:jc w:val="left"/>
        <w:rPr>
          <w:rFonts w:ascii="黑体" w:hAnsi="Times New Roman" w:eastAsia="黑体" w:cs="Times New Roman"/>
          <w:color w:val="000000"/>
          <w:kern w:val="0"/>
          <w:sz w:val="30"/>
          <w:szCs w:val="30"/>
        </w:rPr>
        <w:sectPr>
          <w:pgSz w:w="16838" w:h="11906" w:orient="landscape"/>
          <w:pgMar w:top="851" w:right="993" w:bottom="709" w:left="1135" w:header="851" w:footer="992" w:gutter="0"/>
          <w:cols w:space="425" w:num="1"/>
          <w:docGrid w:type="lines" w:linePitch="312" w:charSpace="0"/>
        </w:sectPr>
      </w:pPr>
    </w:p>
    <w:p>
      <w:pPr>
        <w:widowControl/>
        <w:ind w:firstLine="3000" w:firstLineChars="1000"/>
        <w:jc w:val="left"/>
        <w:rPr>
          <w:rFonts w:ascii="黑体" w:hAnsi="Times New Roman" w:eastAsia="黑体" w:cs="Times New Roman"/>
          <w:color w:val="000000"/>
          <w:kern w:val="0"/>
          <w:sz w:val="30"/>
          <w:szCs w:val="30"/>
        </w:rPr>
      </w:pPr>
    </w:p>
    <w:p>
      <w:pPr>
        <w:widowControl/>
        <w:ind w:firstLine="3300" w:firstLineChars="1100"/>
        <w:jc w:val="left"/>
        <w:rPr>
          <w:rFonts w:ascii="黑体" w:hAnsi="Times New Roman" w:eastAsia="黑体" w:cs="Times New Roman"/>
          <w:color w:val="000000"/>
          <w:kern w:val="0"/>
          <w:sz w:val="30"/>
          <w:szCs w:val="30"/>
        </w:rPr>
      </w:pPr>
    </w:p>
    <w:p>
      <w:pPr>
        <w:widowControl/>
        <w:ind w:firstLine="3900" w:firstLineChars="1300"/>
        <w:jc w:val="left"/>
        <w:rPr>
          <w:rFonts w:ascii="黑体" w:hAnsi="Times New Roman" w:eastAsia="黑体" w:cs="Times New Roman"/>
          <w:color w:val="000000"/>
          <w:kern w:val="0"/>
          <w:sz w:val="30"/>
          <w:szCs w:val="30"/>
        </w:rPr>
      </w:pPr>
      <w:r>
        <w:rPr>
          <w:rFonts w:hint="eastAsia" w:ascii="黑体" w:hAnsi="Times New Roman" w:eastAsia="黑体" w:cs="Times New Roman"/>
          <w:color w:val="000000"/>
          <w:kern w:val="0"/>
          <w:sz w:val="30"/>
          <w:szCs w:val="30"/>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2"/>
        </w:rPr>
        <w:t>部门：湖南省煤田地质局水工环地质勘探队</w:t>
      </w:r>
      <w:r>
        <w:rPr>
          <w:rFonts w:hint="eastAsia" w:ascii="宋体" w:hAnsi="宋体" w:eastAsia="宋体" w:cs="宋体"/>
          <w:color w:val="000000"/>
          <w:kern w:val="0"/>
          <w:sz w:val="22"/>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p>
    <w:p>
      <w:pPr>
        <w:widowControl/>
        <w:ind w:firstLine="3300" w:firstLineChars="1100"/>
        <w:jc w:val="left"/>
        <w:rPr>
          <w:rFonts w:ascii="黑体" w:hAnsi="Times New Roman" w:eastAsia="黑体" w:cs="Times New Roman"/>
          <w:color w:val="000000"/>
          <w:kern w:val="0"/>
          <w:sz w:val="30"/>
          <w:szCs w:val="30"/>
        </w:rPr>
        <w:sectPr>
          <w:pgSz w:w="16838" w:h="11906" w:orient="landscape"/>
          <w:pgMar w:top="851" w:right="993" w:bottom="849" w:left="1135" w:header="851" w:footer="992" w:gutter="0"/>
          <w:cols w:space="425" w:num="1"/>
          <w:docGrid w:type="lines" w:linePitch="312" w:charSpace="0"/>
        </w:sectPr>
      </w:pPr>
    </w:p>
    <w:p>
      <w:pPr>
        <w:widowControl/>
        <w:ind w:firstLine="4050" w:firstLineChars="1350"/>
        <w:jc w:val="left"/>
        <w:rPr>
          <w:rFonts w:ascii="黑体" w:hAnsi="Times New Roman" w:eastAsia="黑体" w:cs="Times New Roman"/>
          <w:color w:val="000000"/>
          <w:kern w:val="0"/>
          <w:sz w:val="30"/>
          <w:szCs w:val="30"/>
        </w:rPr>
      </w:pPr>
    </w:p>
    <w:p>
      <w:pPr>
        <w:widowControl/>
        <w:ind w:firstLine="4050" w:firstLineChars="1350"/>
        <w:jc w:val="left"/>
        <w:rPr>
          <w:rFonts w:ascii="黑体" w:hAnsi="Times New Roman" w:eastAsia="黑体" w:cs="Times New Roman"/>
          <w:color w:val="000000"/>
          <w:kern w:val="0"/>
          <w:sz w:val="30"/>
          <w:szCs w:val="30"/>
        </w:rPr>
      </w:pPr>
      <w:r>
        <w:rPr>
          <w:rFonts w:ascii="黑体" w:hAnsi="Times New Roman" w:eastAsia="黑体" w:cs="Times New Roman"/>
          <w:color w:val="000000"/>
          <w:kern w:val="0"/>
          <w:sz w:val="30"/>
          <w:szCs w:val="30"/>
        </w:rPr>
        <w:t>政府性基金预算财政拨款收入支出决算表</w:t>
      </w:r>
    </w:p>
    <w:p>
      <w:pPr>
        <w:widowControl/>
        <w:wordWrap w:val="0"/>
        <w:jc w:val="both"/>
        <w:rPr>
          <w:rFonts w:ascii="Times New Roman" w:hAnsi="Times New Roman" w:eastAsia="仿宋_GB2312" w:cs="Times New Roman"/>
          <w:color w:val="000000"/>
          <w:kern w:val="0"/>
          <w:szCs w:val="21"/>
        </w:rPr>
      </w:pPr>
      <w:r>
        <w:rPr>
          <w:rFonts w:hint="eastAsia" w:ascii="宋体" w:hAnsi="宋体" w:eastAsia="宋体" w:cs="宋体"/>
          <w:color w:val="000000"/>
          <w:kern w:val="0"/>
          <w:sz w:val="22"/>
        </w:rPr>
        <w:t>部门：湖南省煤田地质局水工环地质勘探队</w:t>
      </w:r>
      <w:r>
        <w:rPr>
          <w:rFonts w:hint="eastAsia" w:ascii="宋体" w:hAnsi="宋体" w:eastAsia="宋体" w:cs="宋体"/>
          <w:color w:val="000000"/>
          <w:kern w:val="0"/>
          <w:sz w:val="22"/>
          <w:lang w:val="en-US" w:eastAsia="zh-CN"/>
        </w:rPr>
        <w:t xml:space="preserve">                                                                                </w:t>
      </w:r>
      <w:r>
        <w:rPr>
          <w:rFonts w:ascii="Times New Roman" w:hAnsi="Times New Roman" w:eastAsia="仿宋_GB2312" w:cs="Times New Roman"/>
          <w:color w:val="000000"/>
          <w:kern w:val="0"/>
          <w:szCs w:val="21"/>
        </w:rPr>
        <w:t>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spacing w:line="20" w:lineRule="exact"/>
        <w:jc w:val="left"/>
        <w:rPr>
          <w:rFonts w:ascii="黑体" w:hAnsi="黑体" w:eastAsia="黑体"/>
          <w:szCs w:val="21"/>
        </w:rPr>
      </w:pPr>
      <w:r>
        <w:rPr>
          <w:rFonts w:ascii="黑体" w:hAnsi="黑体" w:eastAsia="黑体"/>
          <w:szCs w:val="21"/>
        </w:rPr>
        <w:br w:type="page"/>
      </w:r>
    </w:p>
    <w:p>
      <w:pPr>
        <w:widowControl/>
        <w:jc w:val="center"/>
        <w:rPr>
          <w:rFonts w:ascii="黑体" w:hAnsi="Times New Roman" w:eastAsia="黑体" w:cs="Times New Roman"/>
          <w:color w:val="000000"/>
          <w:kern w:val="0"/>
          <w:sz w:val="30"/>
          <w:szCs w:val="30"/>
        </w:rPr>
        <w:sectPr>
          <w:pgSz w:w="16838" w:h="11906" w:orient="landscape"/>
          <w:pgMar w:top="851" w:right="993" w:bottom="849" w:left="1135" w:header="851" w:footer="992" w:gutter="0"/>
          <w:cols w:space="425" w:num="1"/>
          <w:docGrid w:type="lines" w:linePitch="312" w:charSpace="0"/>
        </w:sectPr>
      </w:pP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黑体" w:hAnsi="Times New Roman" w:eastAsia="黑体" w:cs="Times New Roman"/>
                <w:color w:val="000000"/>
                <w:kern w:val="0"/>
                <w:sz w:val="30"/>
                <w:szCs w:val="30"/>
              </w:rPr>
            </w:pPr>
          </w:p>
          <w:p>
            <w:pPr>
              <w:widowControl/>
              <w:jc w:val="center"/>
              <w:rPr>
                <w:rFonts w:ascii="黑体" w:hAnsi="Times New Roman" w:eastAsia="黑体" w:cs="Times New Roman"/>
                <w:color w:val="000000"/>
                <w:kern w:val="0"/>
                <w:sz w:val="30"/>
                <w:szCs w:val="30"/>
              </w:rPr>
            </w:pPr>
          </w:p>
          <w:p>
            <w:pPr>
              <w:widowControl/>
              <w:jc w:val="center"/>
              <w:rPr>
                <w:rFonts w:ascii="华文中宋" w:hAnsi="华文中宋" w:eastAsia="华文中宋" w:cs="宋体"/>
                <w:kern w:val="0"/>
                <w:sz w:val="32"/>
                <w:szCs w:val="32"/>
              </w:rPr>
            </w:pPr>
            <w:r>
              <w:rPr>
                <w:rFonts w:hint="eastAsia" w:ascii="黑体" w:hAnsi="Times New Roman" w:eastAsia="黑体" w:cs="Times New Roman"/>
                <w:color w:val="000000"/>
                <w:kern w:val="0"/>
                <w:sz w:val="30"/>
                <w:szCs w:val="30"/>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2"/>
              </w:rPr>
              <w:t>部门：湖南省煤田地质局水工环地质勘探队</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0</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851" w:right="993" w:bottom="849" w:left="1135"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w:t>
      </w:r>
      <w:r>
        <w:rPr>
          <w:rFonts w:hint="eastAsia" w:asciiTheme="minorEastAsia" w:hAnsiTheme="minorEastAsia" w:eastAsiaTheme="minorEastAsia"/>
          <w:sz w:val="32"/>
          <w:szCs w:val="32"/>
          <w:lang w:eastAsia="zh-CN"/>
        </w:rPr>
        <w:t>度收入</w:t>
      </w:r>
      <w:r>
        <w:rPr>
          <w:rFonts w:hint="eastAsia" w:asciiTheme="minorEastAsia" w:hAnsiTheme="minorEastAsia" w:eastAsiaTheme="minorEastAsia"/>
          <w:sz w:val="32"/>
          <w:szCs w:val="32"/>
        </w:rPr>
        <w:t>总计1515.86万元</w:t>
      </w:r>
      <w:r>
        <w:rPr>
          <w:rFonts w:hint="eastAsia" w:asciiTheme="minorEastAsia" w:hAnsiTheme="minorEastAsia" w:eastAsiaTheme="minorEastAsia"/>
          <w:sz w:val="32"/>
          <w:szCs w:val="32"/>
          <w:lang w:val="en-US" w:eastAsia="zh-CN"/>
        </w:rPr>
        <w:t>(包含年初结转和结余额-39.16万元）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上年</w:t>
      </w:r>
      <w:r>
        <w:rPr>
          <w:rFonts w:hint="eastAsia" w:asciiTheme="minorEastAsia" w:hAnsiTheme="minorEastAsia" w:eastAsiaTheme="minorEastAsia"/>
          <w:sz w:val="32"/>
          <w:szCs w:val="32"/>
          <w:lang w:eastAsia="zh-CN"/>
        </w:rPr>
        <w:t>相比，</w:t>
      </w:r>
      <w:r>
        <w:rPr>
          <w:rFonts w:hint="eastAsia" w:asciiTheme="minorEastAsia" w:hAnsiTheme="minorEastAsia" w:eastAsiaTheme="minorEastAsia"/>
          <w:sz w:val="32"/>
          <w:szCs w:val="32"/>
        </w:rPr>
        <w:t>减少275.51万元,减少15.38%。主要</w:t>
      </w:r>
      <w:r>
        <w:rPr>
          <w:rFonts w:hint="eastAsia" w:asciiTheme="minorEastAsia" w:hAnsiTheme="minorEastAsia" w:eastAsiaTheme="minorEastAsia"/>
          <w:sz w:val="32"/>
          <w:szCs w:val="32"/>
          <w:lang w:eastAsia="zh-CN"/>
        </w:rPr>
        <w:t>是</w:t>
      </w:r>
      <w:r>
        <w:rPr>
          <w:rFonts w:hint="eastAsia" w:asciiTheme="minorEastAsia" w:hAnsiTheme="minorEastAsia" w:eastAsiaTheme="minorEastAsia"/>
          <w:sz w:val="32"/>
          <w:szCs w:val="32"/>
        </w:rPr>
        <w:t>因</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rPr>
        <w:t>:一是项目资金减少，二是经营收入因疫情影响减少。</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2020年度</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总计</w:t>
      </w:r>
      <w:r>
        <w:rPr>
          <w:rFonts w:hint="eastAsia" w:asciiTheme="minorEastAsia" w:hAnsiTheme="minorEastAsia" w:eastAsiaTheme="minorEastAsia"/>
          <w:sz w:val="32"/>
          <w:szCs w:val="32"/>
        </w:rPr>
        <w:t>1515.86万元</w:t>
      </w:r>
      <w:r>
        <w:rPr>
          <w:rFonts w:hint="eastAsia" w:asciiTheme="minorEastAsia" w:hAnsiTheme="minorEastAsia" w:eastAsiaTheme="minorEastAsia"/>
          <w:sz w:val="32"/>
          <w:szCs w:val="32"/>
          <w:lang w:val="en-US" w:eastAsia="zh-CN"/>
        </w:rPr>
        <w:t>(包含年末结转和结余额-272.34万元）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上年</w:t>
      </w:r>
      <w:r>
        <w:rPr>
          <w:rFonts w:hint="eastAsia" w:asciiTheme="minorEastAsia" w:hAnsiTheme="minorEastAsia" w:eastAsiaTheme="minorEastAsia"/>
          <w:sz w:val="32"/>
          <w:szCs w:val="32"/>
          <w:lang w:eastAsia="zh-CN"/>
        </w:rPr>
        <w:t>相比，</w:t>
      </w:r>
      <w:r>
        <w:rPr>
          <w:rFonts w:hint="eastAsia" w:asciiTheme="minorEastAsia" w:hAnsiTheme="minorEastAsia" w:eastAsiaTheme="minorEastAsia"/>
          <w:sz w:val="32"/>
          <w:szCs w:val="32"/>
        </w:rPr>
        <w:t>减少275.51万元，减少15.38%，主要</w:t>
      </w:r>
      <w:r>
        <w:rPr>
          <w:rFonts w:hint="eastAsia" w:asciiTheme="minorEastAsia" w:hAnsiTheme="minorEastAsia" w:eastAsiaTheme="minorEastAsia"/>
          <w:sz w:val="32"/>
          <w:szCs w:val="32"/>
          <w:lang w:eastAsia="zh-CN"/>
        </w:rPr>
        <w:t>是</w:t>
      </w:r>
      <w:r>
        <w:rPr>
          <w:rFonts w:hint="eastAsia" w:asciiTheme="minorEastAsia" w:hAnsiTheme="minorEastAsia" w:eastAsiaTheme="minorEastAsia"/>
          <w:sz w:val="32"/>
          <w:szCs w:val="32"/>
        </w:rPr>
        <w:t>因</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rPr>
        <w:t>一是上年度财政结转结余资金在本年形成支出，二是项目资金减少，三是</w:t>
      </w:r>
      <w:r>
        <w:rPr>
          <w:rFonts w:hint="eastAsia" w:asciiTheme="minorEastAsia" w:hAnsiTheme="minorEastAsia" w:eastAsiaTheme="minorEastAsia"/>
          <w:sz w:val="32"/>
          <w:szCs w:val="32"/>
          <w:lang w:eastAsia="zh-CN"/>
        </w:rPr>
        <w:t>受</w:t>
      </w:r>
      <w:r>
        <w:rPr>
          <w:rFonts w:hint="eastAsia" w:asciiTheme="minorEastAsia" w:hAnsiTheme="minorEastAsia" w:eastAsiaTheme="minorEastAsia"/>
          <w:sz w:val="32"/>
          <w:szCs w:val="32"/>
        </w:rPr>
        <w:t>疫情影响经营收入减少。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本年收入合计1555.02万元，其中：财政拨款收入1257.69万元，占80.88%；上级补助收入0万元，占0%；事业收入0万元，占0%；经营收入297.33万元，占19.12%，附属单位上缴收入0万元，占0%；其他收入0万元，占0%。</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本年支出合计1788.2万元，其中：基本支出1344.09万元，占75.16%；项目支出161.78万元，占9.05%；上缴上级支出0万元，占0%；经营支出282.33万元，占15.79%，对附属单位补助支出0万元，占0%。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5"/>
        <w:widowControl/>
        <w:shd w:val="clear" w:color="auto" w:fill="FFFFFF"/>
        <w:spacing w:line="525" w:lineRule="atLeast"/>
        <w:ind w:firstLine="648"/>
        <w:rPr>
          <w:rFonts w:ascii="微软雅黑" w:hAnsi="微软雅黑" w:eastAsia="微软雅黑" w:cs="微软雅黑"/>
          <w:color w:val="auto"/>
          <w:sz w:val="18"/>
          <w:szCs w:val="18"/>
          <w:highlight w:val="none"/>
        </w:rPr>
      </w:pPr>
      <w:r>
        <w:rPr>
          <w:rFonts w:hint="eastAsia" w:ascii="宋体" w:hAnsi="宋体" w:eastAsia="宋体" w:cs="宋体"/>
          <w:color w:val="auto"/>
          <w:sz w:val="32"/>
          <w:szCs w:val="32"/>
          <w:highlight w:val="none"/>
          <w:shd w:val="clear" w:color="auto" w:fill="FFFFFF"/>
        </w:rPr>
        <w:t>2020年度财政拨款收入总计1506.17万元</w:t>
      </w:r>
      <w:r>
        <w:rPr>
          <w:rFonts w:hint="eastAsia" w:ascii="宋体" w:hAnsi="宋体" w:eastAsia="宋体" w:cs="宋体"/>
          <w:color w:val="auto"/>
          <w:sz w:val="32"/>
          <w:szCs w:val="32"/>
          <w:highlight w:val="none"/>
          <w:shd w:val="clear" w:color="auto" w:fill="FFFFFF"/>
          <w:lang w:eastAsia="zh-CN"/>
        </w:rPr>
        <w:t>（包含年初财政拔款结转和结余</w:t>
      </w:r>
      <w:r>
        <w:rPr>
          <w:rFonts w:hint="eastAsia" w:ascii="宋体" w:hAnsi="宋体" w:eastAsia="宋体" w:cs="宋体"/>
          <w:color w:val="auto"/>
          <w:sz w:val="32"/>
          <w:szCs w:val="32"/>
          <w:highlight w:val="none"/>
          <w:shd w:val="clear" w:color="auto" w:fill="FFFFFF"/>
          <w:lang w:val="en-US" w:eastAsia="zh-CN"/>
        </w:rPr>
        <w:t>248.48万元 ）</w:t>
      </w:r>
      <w:r>
        <w:rPr>
          <w:rFonts w:hint="eastAsia" w:ascii="宋体" w:hAnsi="宋体" w:eastAsia="宋体" w:cs="宋体"/>
          <w:color w:val="auto"/>
          <w:sz w:val="32"/>
          <w:szCs w:val="32"/>
          <w:highlight w:val="none"/>
          <w:shd w:val="clear" w:color="auto" w:fill="FFFFFF"/>
        </w:rPr>
        <w:t>，</w:t>
      </w:r>
      <w:r>
        <w:rPr>
          <w:rFonts w:hint="eastAsia" w:ascii="宋体" w:hAnsi="宋体" w:eastAsia="宋体" w:cs="宋体"/>
          <w:color w:val="auto"/>
          <w:sz w:val="32"/>
          <w:szCs w:val="32"/>
          <w:highlight w:val="none"/>
          <w:shd w:val="clear" w:color="auto" w:fill="FFFFFF"/>
          <w:lang w:eastAsia="zh-CN"/>
        </w:rPr>
        <w:t>与</w:t>
      </w:r>
      <w:r>
        <w:rPr>
          <w:rFonts w:hint="eastAsia" w:ascii="宋体" w:hAnsi="宋体" w:eastAsia="宋体" w:cs="宋体"/>
          <w:color w:val="auto"/>
          <w:sz w:val="32"/>
          <w:szCs w:val="32"/>
          <w:highlight w:val="none"/>
          <w:shd w:val="clear" w:color="auto" w:fill="FFFFFF"/>
        </w:rPr>
        <w:t>上年</w:t>
      </w:r>
      <w:r>
        <w:rPr>
          <w:rFonts w:hint="eastAsia" w:ascii="宋体" w:hAnsi="宋体" w:eastAsia="宋体" w:cs="宋体"/>
          <w:color w:val="auto"/>
          <w:sz w:val="32"/>
          <w:szCs w:val="32"/>
          <w:highlight w:val="none"/>
          <w:shd w:val="clear" w:color="auto" w:fill="FFFFFF"/>
          <w:lang w:eastAsia="zh-CN"/>
        </w:rPr>
        <w:t>相比，</w:t>
      </w:r>
      <w:r>
        <w:rPr>
          <w:rFonts w:hint="eastAsia" w:ascii="宋体" w:hAnsi="宋体" w:eastAsia="宋体" w:cs="宋体"/>
          <w:color w:val="auto"/>
          <w:sz w:val="32"/>
          <w:szCs w:val="32"/>
          <w:highlight w:val="none"/>
          <w:shd w:val="clear" w:color="auto" w:fill="FFFFFF"/>
        </w:rPr>
        <w:t>减少</w:t>
      </w:r>
      <w:r>
        <w:rPr>
          <w:rFonts w:hint="eastAsia" w:ascii="宋体" w:hAnsi="宋体" w:eastAsia="宋体" w:cs="宋体"/>
          <w:color w:val="auto"/>
          <w:sz w:val="32"/>
          <w:szCs w:val="32"/>
          <w:highlight w:val="none"/>
          <w:shd w:val="clear" w:color="auto" w:fill="FFFFFF"/>
          <w:lang w:val="en-US" w:eastAsia="zh-CN"/>
        </w:rPr>
        <w:t>169.3</w:t>
      </w:r>
      <w:r>
        <w:rPr>
          <w:rFonts w:hint="eastAsia" w:ascii="宋体" w:hAnsi="宋体" w:eastAsia="宋体" w:cs="宋体"/>
          <w:color w:val="auto"/>
          <w:sz w:val="32"/>
          <w:szCs w:val="32"/>
          <w:highlight w:val="none"/>
          <w:shd w:val="clear" w:color="auto" w:fill="FFFFFF"/>
        </w:rPr>
        <w:t>万元，减少</w:t>
      </w:r>
      <w:r>
        <w:rPr>
          <w:rFonts w:hint="eastAsia" w:ascii="宋体" w:hAnsi="宋体" w:eastAsia="宋体" w:cs="宋体"/>
          <w:color w:val="auto"/>
          <w:sz w:val="32"/>
          <w:szCs w:val="32"/>
          <w:highlight w:val="none"/>
          <w:shd w:val="clear" w:color="auto" w:fill="FFFFFF"/>
          <w:lang w:val="en-US" w:eastAsia="zh-CN"/>
        </w:rPr>
        <w:t>10.1</w:t>
      </w:r>
      <w:r>
        <w:rPr>
          <w:rFonts w:hint="eastAsia" w:ascii="宋体" w:hAnsi="宋体" w:eastAsia="宋体" w:cs="宋体"/>
          <w:color w:val="auto"/>
          <w:sz w:val="32"/>
          <w:szCs w:val="32"/>
          <w:highlight w:val="none"/>
          <w:shd w:val="clear" w:color="auto" w:fill="FFFFFF"/>
        </w:rPr>
        <w:t>%。主要</w:t>
      </w:r>
      <w:r>
        <w:rPr>
          <w:rFonts w:hint="eastAsia" w:ascii="宋体" w:hAnsi="宋体" w:eastAsia="宋体" w:cs="宋体"/>
          <w:color w:val="auto"/>
          <w:sz w:val="32"/>
          <w:szCs w:val="32"/>
          <w:highlight w:val="none"/>
          <w:shd w:val="clear" w:color="auto" w:fill="FFFFFF"/>
          <w:lang w:eastAsia="zh-CN"/>
        </w:rPr>
        <w:t>是</w:t>
      </w:r>
      <w:r>
        <w:rPr>
          <w:rFonts w:hint="eastAsia" w:ascii="宋体" w:hAnsi="宋体" w:eastAsia="宋体" w:cs="宋体"/>
          <w:color w:val="auto"/>
          <w:sz w:val="32"/>
          <w:szCs w:val="32"/>
          <w:highlight w:val="none"/>
          <w:shd w:val="clear" w:color="auto" w:fill="FFFFFF"/>
        </w:rPr>
        <w:t>因</w:t>
      </w:r>
      <w:r>
        <w:rPr>
          <w:rFonts w:hint="eastAsia" w:ascii="宋体" w:hAnsi="宋体" w:eastAsia="宋体" w:cs="宋体"/>
          <w:color w:val="auto"/>
          <w:sz w:val="32"/>
          <w:szCs w:val="32"/>
          <w:highlight w:val="none"/>
          <w:shd w:val="clear" w:color="auto" w:fill="FFFFFF"/>
          <w:lang w:eastAsia="zh-CN"/>
        </w:rPr>
        <w:t>为</w:t>
      </w:r>
      <w:r>
        <w:rPr>
          <w:rFonts w:hint="eastAsia" w:ascii="宋体" w:hAnsi="宋体" w:eastAsia="宋体" w:cs="宋体"/>
          <w:color w:val="auto"/>
          <w:sz w:val="32"/>
          <w:szCs w:val="32"/>
          <w:highlight w:val="none"/>
          <w:shd w:val="clear" w:color="auto" w:fill="FFFFFF"/>
        </w:rPr>
        <w:t>2020年减少了两个地灾项目。</w:t>
      </w:r>
    </w:p>
    <w:p>
      <w:pPr>
        <w:pStyle w:val="5"/>
        <w:widowControl/>
        <w:shd w:val="clear" w:color="auto" w:fill="FFFFFF"/>
        <w:spacing w:line="525" w:lineRule="atLeast"/>
        <w:ind w:firstLine="640"/>
        <w:rPr>
          <w:rFonts w:ascii="微软雅黑" w:hAnsi="微软雅黑" w:eastAsia="微软雅黑" w:cs="微软雅黑"/>
          <w:color w:val="333333"/>
          <w:sz w:val="18"/>
          <w:szCs w:val="18"/>
          <w:highlight w:val="yellow"/>
        </w:rPr>
      </w:pPr>
      <w:r>
        <w:rPr>
          <w:rFonts w:hint="eastAsia" w:ascii="宋体" w:hAnsi="宋体" w:eastAsia="宋体" w:cs="宋体"/>
          <w:color w:val="000000"/>
          <w:sz w:val="32"/>
          <w:szCs w:val="32"/>
          <w:highlight w:val="none"/>
          <w:shd w:val="clear" w:color="auto" w:fill="FFFFFF"/>
        </w:rPr>
        <w:t>2020年度财政拨款支出总</w:t>
      </w:r>
      <w:r>
        <w:rPr>
          <w:rFonts w:hint="eastAsia" w:ascii="宋体" w:hAnsi="宋体" w:eastAsia="宋体" w:cs="宋体"/>
          <w:color w:val="000000"/>
          <w:sz w:val="32"/>
          <w:szCs w:val="32"/>
          <w:highlight w:val="none"/>
          <w:shd w:val="clear" w:color="auto" w:fill="FFFFFF"/>
          <w:lang w:eastAsia="zh-CN"/>
        </w:rPr>
        <w:t>计</w:t>
      </w:r>
      <w:r>
        <w:rPr>
          <w:rFonts w:hint="eastAsia" w:ascii="宋体" w:hAnsi="宋体" w:eastAsia="宋体" w:cs="宋体"/>
          <w:color w:val="000000"/>
          <w:sz w:val="32"/>
          <w:szCs w:val="32"/>
          <w:highlight w:val="none"/>
          <w:shd w:val="clear" w:color="auto" w:fill="FFFFFF"/>
        </w:rPr>
        <w:t>1506.17万元</w:t>
      </w:r>
      <w:r>
        <w:rPr>
          <w:rFonts w:hint="eastAsia" w:ascii="宋体" w:hAnsi="宋体" w:eastAsia="宋体" w:cs="宋体"/>
          <w:color w:val="auto"/>
          <w:sz w:val="32"/>
          <w:szCs w:val="32"/>
          <w:highlight w:val="none"/>
          <w:shd w:val="clear" w:color="auto" w:fill="FFFFFF"/>
          <w:lang w:eastAsia="zh-CN"/>
        </w:rPr>
        <w:t>（包含年初财政拔款结转和结余</w:t>
      </w:r>
      <w:r>
        <w:rPr>
          <w:rFonts w:hint="eastAsia" w:ascii="宋体" w:hAnsi="宋体" w:eastAsia="宋体" w:cs="宋体"/>
          <w:color w:val="auto"/>
          <w:sz w:val="32"/>
          <w:szCs w:val="32"/>
          <w:highlight w:val="none"/>
          <w:shd w:val="clear" w:color="auto" w:fill="FFFFFF"/>
          <w:lang w:val="en-US" w:eastAsia="zh-CN"/>
        </w:rPr>
        <w:t>0.3万元 ）</w:t>
      </w:r>
      <w:r>
        <w:rPr>
          <w:rFonts w:hint="eastAsia" w:ascii="宋体" w:hAnsi="宋体" w:eastAsia="宋体" w:cs="宋体"/>
          <w:color w:val="000000"/>
          <w:sz w:val="32"/>
          <w:szCs w:val="32"/>
          <w:highlight w:val="none"/>
          <w:shd w:val="clear" w:color="auto" w:fill="FFFFFF"/>
        </w:rPr>
        <w:t>，</w:t>
      </w:r>
      <w:r>
        <w:rPr>
          <w:rFonts w:hint="eastAsia" w:ascii="宋体" w:hAnsi="宋体" w:eastAsia="宋体" w:cs="宋体"/>
          <w:color w:val="000000"/>
          <w:sz w:val="32"/>
          <w:szCs w:val="32"/>
          <w:highlight w:val="none"/>
          <w:shd w:val="clear" w:color="auto" w:fill="FFFFFF"/>
          <w:lang w:eastAsia="zh-CN"/>
        </w:rPr>
        <w:t>与</w:t>
      </w:r>
      <w:r>
        <w:rPr>
          <w:rFonts w:hint="eastAsia" w:ascii="宋体" w:hAnsi="宋体" w:eastAsia="宋体" w:cs="宋体"/>
          <w:color w:val="000000"/>
          <w:sz w:val="32"/>
          <w:szCs w:val="32"/>
          <w:highlight w:val="none"/>
          <w:shd w:val="clear" w:color="auto" w:fill="FFFFFF"/>
        </w:rPr>
        <w:t>上年</w:t>
      </w:r>
      <w:r>
        <w:rPr>
          <w:rFonts w:hint="eastAsia" w:ascii="宋体" w:hAnsi="宋体" w:eastAsia="宋体" w:cs="宋体"/>
          <w:color w:val="000000"/>
          <w:sz w:val="32"/>
          <w:szCs w:val="32"/>
          <w:highlight w:val="none"/>
          <w:shd w:val="clear" w:color="auto" w:fill="FFFFFF"/>
          <w:lang w:eastAsia="zh-CN"/>
        </w:rPr>
        <w:t>相比</w:t>
      </w:r>
      <w:r>
        <w:rPr>
          <w:rFonts w:hint="eastAsia" w:ascii="宋体" w:hAnsi="宋体" w:eastAsia="宋体" w:cs="宋体"/>
          <w:color w:val="000000"/>
          <w:sz w:val="32"/>
          <w:szCs w:val="32"/>
          <w:highlight w:val="none"/>
          <w:shd w:val="clear" w:color="auto" w:fill="FFFFFF"/>
        </w:rPr>
        <w:t>，</w:t>
      </w:r>
      <w:r>
        <w:rPr>
          <w:rFonts w:hint="eastAsia" w:ascii="宋体" w:hAnsi="宋体" w:eastAsia="宋体" w:cs="宋体"/>
          <w:color w:val="auto"/>
          <w:sz w:val="32"/>
          <w:szCs w:val="32"/>
          <w:highlight w:val="none"/>
          <w:shd w:val="clear" w:color="auto" w:fill="FFFFFF"/>
        </w:rPr>
        <w:t>减少</w:t>
      </w:r>
      <w:r>
        <w:rPr>
          <w:rFonts w:hint="eastAsia" w:ascii="宋体" w:hAnsi="宋体" w:eastAsia="宋体" w:cs="宋体"/>
          <w:color w:val="auto"/>
          <w:sz w:val="32"/>
          <w:szCs w:val="32"/>
          <w:highlight w:val="none"/>
          <w:shd w:val="clear" w:color="auto" w:fill="FFFFFF"/>
          <w:lang w:val="en-US" w:eastAsia="zh-CN"/>
        </w:rPr>
        <w:t>169.3</w:t>
      </w:r>
      <w:r>
        <w:rPr>
          <w:rFonts w:hint="eastAsia" w:ascii="宋体" w:hAnsi="宋体" w:eastAsia="宋体" w:cs="宋体"/>
          <w:color w:val="auto"/>
          <w:sz w:val="32"/>
          <w:szCs w:val="32"/>
          <w:highlight w:val="none"/>
          <w:shd w:val="clear" w:color="auto" w:fill="FFFFFF"/>
        </w:rPr>
        <w:t>万元，减少</w:t>
      </w:r>
      <w:r>
        <w:rPr>
          <w:rFonts w:hint="eastAsia" w:ascii="宋体" w:hAnsi="宋体" w:eastAsia="宋体" w:cs="宋体"/>
          <w:color w:val="auto"/>
          <w:sz w:val="32"/>
          <w:szCs w:val="32"/>
          <w:highlight w:val="none"/>
          <w:shd w:val="clear" w:color="auto" w:fill="FFFFFF"/>
          <w:lang w:val="en-US" w:eastAsia="zh-CN"/>
        </w:rPr>
        <w:t>10.1</w:t>
      </w:r>
      <w:r>
        <w:rPr>
          <w:rFonts w:hint="eastAsia" w:ascii="宋体" w:hAnsi="宋体" w:eastAsia="宋体" w:cs="宋体"/>
          <w:color w:val="auto"/>
          <w:sz w:val="32"/>
          <w:szCs w:val="32"/>
          <w:highlight w:val="none"/>
          <w:shd w:val="clear" w:color="auto" w:fill="FFFFFF"/>
        </w:rPr>
        <w:t>%。</w:t>
      </w:r>
      <w:r>
        <w:rPr>
          <w:rFonts w:hint="eastAsia" w:ascii="宋体" w:hAnsi="宋体" w:eastAsia="宋体" w:cs="宋体"/>
          <w:color w:val="auto"/>
          <w:sz w:val="32"/>
          <w:szCs w:val="32"/>
          <w:highlight w:val="none"/>
          <w:shd w:val="clear" w:color="auto" w:fill="FFFFFF"/>
        </w:rPr>
        <w:t>主要</w:t>
      </w:r>
      <w:r>
        <w:rPr>
          <w:rFonts w:hint="eastAsia" w:ascii="宋体" w:hAnsi="宋体" w:eastAsia="宋体" w:cs="宋体"/>
          <w:color w:val="auto"/>
          <w:sz w:val="32"/>
          <w:szCs w:val="32"/>
          <w:highlight w:val="none"/>
          <w:shd w:val="clear" w:color="auto" w:fill="FFFFFF"/>
          <w:lang w:eastAsia="zh-CN"/>
        </w:rPr>
        <w:t>是</w:t>
      </w:r>
      <w:r>
        <w:rPr>
          <w:rFonts w:hint="eastAsia" w:ascii="宋体" w:hAnsi="宋体" w:eastAsia="宋体" w:cs="宋体"/>
          <w:color w:val="auto"/>
          <w:sz w:val="32"/>
          <w:szCs w:val="32"/>
          <w:highlight w:val="none"/>
          <w:shd w:val="clear" w:color="auto" w:fill="FFFFFF"/>
        </w:rPr>
        <w:t>因</w:t>
      </w:r>
      <w:r>
        <w:rPr>
          <w:rFonts w:hint="eastAsia" w:ascii="宋体" w:hAnsi="宋体" w:eastAsia="宋体" w:cs="宋体"/>
          <w:color w:val="auto"/>
          <w:sz w:val="32"/>
          <w:szCs w:val="32"/>
          <w:highlight w:val="none"/>
          <w:shd w:val="clear" w:color="auto" w:fill="FFFFFF"/>
          <w:lang w:eastAsia="zh-CN"/>
        </w:rPr>
        <w:t>为</w:t>
      </w:r>
      <w:r>
        <w:rPr>
          <w:rFonts w:hint="eastAsia" w:ascii="宋体" w:hAnsi="宋体" w:eastAsia="宋体" w:cs="宋体"/>
          <w:color w:val="auto"/>
          <w:sz w:val="32"/>
          <w:szCs w:val="32"/>
          <w:highlight w:val="none"/>
          <w:shd w:val="clear" w:color="auto" w:fill="FFFFFF"/>
        </w:rPr>
        <w:t>2020年减少了两个地灾项目。</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eastAsia="宋体" w:asciiTheme="minorEastAsia" w:hAnsiTheme="minorEastAsia"/>
          <w:sz w:val="32"/>
          <w:szCs w:val="32"/>
        </w:rPr>
      </w:pPr>
      <w:r>
        <w:rPr>
          <w:rFonts w:hint="eastAsia" w:asciiTheme="minorEastAsia" w:hAnsiTheme="minorEastAsia" w:eastAsiaTheme="minorEastAsia"/>
          <w:sz w:val="32"/>
          <w:szCs w:val="32"/>
        </w:rPr>
        <w:t>2020年度财政拨款支出1505.87万元，占本年支出合计的84.21%，与上年相比，财政拨款支出增加7.56万元，增长0.41%，主要是因为</w:t>
      </w:r>
      <w:r>
        <w:rPr>
          <w:rFonts w:hint="eastAsia" w:ascii="宋体" w:hAnsi="宋体" w:eastAsia="宋体" w:cs="宋体"/>
          <w:sz w:val="32"/>
          <w:szCs w:val="32"/>
          <w:shd w:val="clear" w:color="auto" w:fill="FFFFFF"/>
        </w:rPr>
        <w:t>2019年指标结转248.48万元。</w:t>
      </w:r>
    </w:p>
    <w:p>
      <w:pPr>
        <w:pStyle w:val="11"/>
        <w:ind w:firstLine="800" w:firstLineChars="250"/>
        <w:rPr>
          <w:rFonts w:eastAsia="宋体" w:asciiTheme="minorEastAsia" w:hAnsiTheme="minorEastAsia"/>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1505.87万元，主要用于以下方面：教育（类）支出3.5万元，占0.23%;社会保障和就业支出168.07万元，占11.16%；卫生健康支出80.63万元，占5.35%；资源勘探工业信息等支出412.08万元，占27.36%；自然资源海洋气象等支出650.38万元，占43.19%；住房保障支出111.21，占7.39%；灾害防治及应急管理支出80万元，占5.31%。</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宋体" w:hAnsi="宋体" w:eastAsia="宋体" w:cs="宋体"/>
          <w:color w:val="333333"/>
          <w:kern w:val="2"/>
          <w:sz w:val="32"/>
          <w:szCs w:val="32"/>
          <w:shd w:val="clear" w:color="auto" w:fill="FFFFFF"/>
        </w:rPr>
      </w:pPr>
      <w:r>
        <w:rPr>
          <w:rFonts w:hint="eastAsia" w:asciiTheme="minorEastAsia" w:hAnsiTheme="minorEastAsia" w:eastAsiaTheme="minorEastAsia"/>
          <w:sz w:val="32"/>
          <w:szCs w:val="32"/>
        </w:rPr>
        <w:t>2020年度财政拨款支出年初预算数为1014.09万元，支出决算数为1505.87万元，完成年初预算的148.49%</w:t>
      </w:r>
      <w:r>
        <w:rPr>
          <w:rFonts w:hint="eastAsia" w:asciiTheme="minorEastAsia" w:hAnsiTheme="minorEastAsia" w:eastAsiaTheme="minorEastAsia"/>
          <w:sz w:val="32"/>
          <w:szCs w:val="32"/>
          <w:lang w:eastAsia="zh-CN"/>
        </w:rPr>
        <w:t>，</w:t>
      </w:r>
      <w:r>
        <w:rPr>
          <w:rFonts w:hint="eastAsia" w:ascii="宋体" w:hAnsi="宋体" w:eastAsia="宋体" w:cs="宋体"/>
          <w:color w:val="333333"/>
          <w:kern w:val="2"/>
          <w:sz w:val="32"/>
          <w:szCs w:val="32"/>
          <w:shd w:val="clear" w:color="auto" w:fill="FFFFFF"/>
        </w:rPr>
        <w:t>其中：</w:t>
      </w:r>
    </w:p>
    <w:p>
      <w:pPr>
        <w:pStyle w:val="5"/>
        <w:widowControl/>
        <w:shd w:val="clear" w:color="auto" w:fill="FFFFFF"/>
        <w:spacing w:line="525" w:lineRule="atLeast"/>
        <w:ind w:firstLine="640"/>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1、教育（类）进修及培训（款）培训支出（项）</w:t>
      </w:r>
    </w:p>
    <w:p>
      <w:pPr>
        <w:pStyle w:val="5"/>
        <w:keepNext w:val="0"/>
        <w:keepLines w:val="0"/>
        <w:pageBreakBefore w:val="0"/>
        <w:widowControl w:val="0"/>
        <w:shd w:val="clear" w:color="auto" w:fill="FFFFFF"/>
        <w:kinsoku/>
        <w:wordWrap/>
        <w:overflowPunct/>
        <w:topLinePunct w:val="0"/>
        <w:autoSpaceDE/>
        <w:autoSpaceDN/>
        <w:bidi w:val="0"/>
        <w:adjustRightInd/>
        <w:snapToGrid/>
        <w:spacing w:line="525" w:lineRule="atLeast"/>
        <w:ind w:firstLine="640"/>
        <w:textAlignment w:val="auto"/>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年初预算为3.5万元，支出决算为3.5万元，完成年初预算的</w:t>
      </w:r>
      <w:bookmarkStart w:id="1" w:name="_GoBack"/>
      <w:r>
        <w:rPr>
          <w:rFonts w:hint="eastAsia" w:ascii="宋体" w:hAnsi="宋体" w:eastAsia="宋体" w:cs="宋体"/>
          <w:color w:val="333333"/>
          <w:sz w:val="32"/>
          <w:szCs w:val="32"/>
          <w:shd w:val="clear" w:color="auto" w:fill="FFFFFF"/>
        </w:rPr>
        <w:t>100%。</w:t>
      </w:r>
    </w:p>
    <w:p>
      <w:pPr>
        <w:pStyle w:val="5"/>
        <w:keepNext w:val="0"/>
        <w:keepLines w:val="0"/>
        <w:pageBreakBefore w:val="0"/>
        <w:widowControl w:val="0"/>
        <w:shd w:val="clear" w:color="auto" w:fill="FFFFFF"/>
        <w:kinsoku/>
        <w:wordWrap/>
        <w:overflowPunct/>
        <w:topLinePunct w:val="0"/>
        <w:autoSpaceDE/>
        <w:autoSpaceDN/>
        <w:bidi w:val="0"/>
        <w:adjustRightInd/>
        <w:snapToGrid/>
        <w:spacing w:line="525" w:lineRule="atLeast"/>
        <w:ind w:firstLine="643"/>
        <w:textAlignment w:val="auto"/>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2、社会保障和就业（类）行政事业单位离退休（款）机关事业单位基本养老保险缴费支出（项）。</w:t>
      </w:r>
    </w:p>
    <w:bookmarkEnd w:id="1"/>
    <w:p>
      <w:pPr>
        <w:pStyle w:val="5"/>
        <w:keepNext w:val="0"/>
        <w:keepLines w:val="0"/>
        <w:pageBreakBefore w:val="0"/>
        <w:widowControl w:val="0"/>
        <w:shd w:val="clear" w:color="auto" w:fill="FFFFFF"/>
        <w:kinsoku/>
        <w:wordWrap/>
        <w:overflowPunct/>
        <w:topLinePunct w:val="0"/>
        <w:autoSpaceDE/>
        <w:autoSpaceDN/>
        <w:bidi w:val="0"/>
        <w:adjustRightInd/>
        <w:snapToGrid/>
        <w:spacing w:line="525" w:lineRule="atLeast"/>
        <w:ind w:firstLine="640"/>
        <w:textAlignment w:val="auto"/>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年初预算为168.07万元，支出决算为168.07万元</w:t>
      </w:r>
      <w:r>
        <w:rPr>
          <w:rFonts w:hint="eastAsia" w:ascii="宋体" w:hAnsi="宋体" w:eastAsia="宋体" w:cs="宋体"/>
          <w:color w:val="333333"/>
          <w:sz w:val="32"/>
          <w:szCs w:val="32"/>
          <w:shd w:val="clear" w:color="auto" w:fill="FFFFFF"/>
          <w:lang w:eastAsia="zh-CN"/>
        </w:rPr>
        <w:t>，</w:t>
      </w:r>
      <w:r>
        <w:rPr>
          <w:rFonts w:hint="eastAsia" w:ascii="宋体" w:hAnsi="宋体" w:eastAsia="宋体" w:cs="宋体"/>
          <w:color w:val="333333"/>
          <w:sz w:val="32"/>
          <w:szCs w:val="32"/>
          <w:shd w:val="clear" w:color="auto" w:fill="FFFFFF"/>
        </w:rPr>
        <w:t>完成年初预算的100%。</w:t>
      </w:r>
    </w:p>
    <w:p>
      <w:pPr>
        <w:pStyle w:val="5"/>
        <w:keepNext w:val="0"/>
        <w:keepLines w:val="0"/>
        <w:pageBreakBefore w:val="0"/>
        <w:widowControl w:val="0"/>
        <w:shd w:val="clear" w:color="auto" w:fill="FFFFFF"/>
        <w:kinsoku/>
        <w:wordWrap/>
        <w:overflowPunct/>
        <w:topLinePunct w:val="0"/>
        <w:autoSpaceDE/>
        <w:autoSpaceDN/>
        <w:bidi w:val="0"/>
        <w:adjustRightInd/>
        <w:snapToGrid/>
        <w:spacing w:line="525" w:lineRule="atLeast"/>
        <w:ind w:firstLine="640" w:firstLineChars="200"/>
        <w:textAlignment w:val="auto"/>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3、卫生健康（类）行政事业单位医疗（款）事业单位医疗支出（项）。</w:t>
      </w:r>
    </w:p>
    <w:p>
      <w:pPr>
        <w:pStyle w:val="5"/>
        <w:keepNext w:val="0"/>
        <w:keepLines w:val="0"/>
        <w:pageBreakBefore w:val="0"/>
        <w:widowControl w:val="0"/>
        <w:shd w:val="clear" w:color="auto" w:fill="FFFFFF"/>
        <w:kinsoku/>
        <w:wordWrap/>
        <w:overflowPunct/>
        <w:topLinePunct w:val="0"/>
        <w:autoSpaceDE/>
        <w:autoSpaceDN/>
        <w:bidi w:val="0"/>
        <w:adjustRightInd/>
        <w:snapToGrid/>
        <w:spacing w:line="525" w:lineRule="atLeast"/>
        <w:ind w:firstLine="640"/>
        <w:textAlignment w:val="auto"/>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年初预算为80.63万元，支出决算为80.63万元</w:t>
      </w:r>
      <w:r>
        <w:rPr>
          <w:rFonts w:hint="eastAsia" w:ascii="宋体" w:hAnsi="宋体" w:eastAsia="宋体" w:cs="宋体"/>
          <w:color w:val="333333"/>
          <w:sz w:val="32"/>
          <w:szCs w:val="32"/>
          <w:shd w:val="clear" w:color="auto" w:fill="FFFFFF"/>
          <w:lang w:eastAsia="zh-CN"/>
        </w:rPr>
        <w:t>，</w:t>
      </w:r>
      <w:r>
        <w:rPr>
          <w:rFonts w:hint="eastAsia" w:ascii="宋体" w:hAnsi="宋体" w:eastAsia="宋体" w:cs="宋体"/>
          <w:color w:val="333333"/>
          <w:sz w:val="32"/>
          <w:szCs w:val="32"/>
          <w:shd w:val="clear" w:color="auto" w:fill="FFFFFF"/>
        </w:rPr>
        <w:t>完成年初预算的100%。</w:t>
      </w:r>
    </w:p>
    <w:p>
      <w:pPr>
        <w:pStyle w:val="5"/>
        <w:widowControl/>
        <w:shd w:val="clear" w:color="auto" w:fill="FFFFFF"/>
        <w:spacing w:line="525" w:lineRule="atLeast"/>
        <w:ind w:firstLine="643"/>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4、资源勘探信息（类）资源勘探开发（款）其他资源勘探业支出（项）。</w:t>
      </w:r>
    </w:p>
    <w:p>
      <w:pPr>
        <w:pStyle w:val="5"/>
        <w:widowControl/>
        <w:shd w:val="clear" w:color="auto" w:fill="FFFFFF"/>
        <w:spacing w:line="525" w:lineRule="atLeast"/>
        <w:ind w:firstLine="640"/>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年初预算为0万元，支出决算为412.08万元。决算数大于预算数的</w:t>
      </w:r>
      <w:r>
        <w:rPr>
          <w:rFonts w:hint="eastAsia" w:ascii="宋体" w:hAnsi="宋体" w:eastAsia="宋体" w:cs="宋体"/>
          <w:color w:val="333333"/>
          <w:sz w:val="32"/>
          <w:szCs w:val="32"/>
          <w:shd w:val="clear" w:color="auto" w:fill="FFFFFF"/>
          <w:lang w:eastAsia="zh-CN"/>
        </w:rPr>
        <w:t>主要原</w:t>
      </w:r>
      <w:r>
        <w:rPr>
          <w:rFonts w:hint="eastAsia" w:ascii="宋体" w:hAnsi="宋体" w:eastAsia="宋体" w:cs="宋体"/>
          <w:color w:val="333333"/>
          <w:sz w:val="32"/>
          <w:szCs w:val="32"/>
          <w:shd w:val="clear" w:color="auto" w:fill="FFFFFF"/>
        </w:rPr>
        <w:t>因是</w:t>
      </w:r>
      <w:r>
        <w:rPr>
          <w:rFonts w:hint="eastAsia" w:ascii="宋体" w:hAnsi="宋体" w:eastAsia="宋体" w:cs="宋体"/>
          <w:color w:val="333333"/>
          <w:sz w:val="32"/>
          <w:szCs w:val="32"/>
          <w:shd w:val="clear" w:color="auto" w:fill="FFFFFF"/>
          <w:lang w:eastAsia="zh-CN"/>
        </w:rPr>
        <w:t>：</w:t>
      </w:r>
      <w:r>
        <w:rPr>
          <w:rFonts w:hint="eastAsia" w:ascii="宋体" w:hAnsi="宋体" w:eastAsia="宋体" w:cs="宋体"/>
          <w:color w:val="333333"/>
          <w:sz w:val="32"/>
          <w:szCs w:val="32"/>
          <w:shd w:val="clear" w:color="auto" w:fill="FFFFFF"/>
        </w:rPr>
        <w:t>年中追加了地勘专项资金及综治奖及上年结转了指标。</w:t>
      </w:r>
    </w:p>
    <w:p>
      <w:pPr>
        <w:pStyle w:val="5"/>
        <w:widowControl/>
        <w:shd w:val="clear" w:color="auto" w:fill="FFFFFF"/>
        <w:spacing w:line="525" w:lineRule="atLeast"/>
        <w:ind w:firstLine="643"/>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5、自然资源海洋气象（类）自然资源事务（款）事业运行（项）。</w:t>
      </w:r>
    </w:p>
    <w:p>
      <w:pPr>
        <w:pStyle w:val="5"/>
        <w:widowControl/>
        <w:shd w:val="clear" w:color="auto" w:fill="FFFFFF"/>
        <w:spacing w:line="525" w:lineRule="atLeast"/>
        <w:ind w:firstLine="640"/>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年初预算为650.68万元，支出决算为650.38万元。决算数小于预算数的</w:t>
      </w:r>
      <w:r>
        <w:rPr>
          <w:rFonts w:hint="eastAsia" w:ascii="宋体" w:hAnsi="宋体" w:eastAsia="宋体" w:cs="宋体"/>
          <w:color w:val="333333"/>
          <w:sz w:val="32"/>
          <w:szCs w:val="32"/>
          <w:shd w:val="clear" w:color="auto" w:fill="FFFFFF"/>
          <w:lang w:eastAsia="zh-CN"/>
        </w:rPr>
        <w:t>主要</w:t>
      </w:r>
      <w:r>
        <w:rPr>
          <w:rFonts w:hint="eastAsia" w:ascii="宋体" w:hAnsi="宋体" w:eastAsia="宋体" w:cs="宋体"/>
          <w:color w:val="333333"/>
          <w:sz w:val="32"/>
          <w:szCs w:val="32"/>
          <w:shd w:val="clear" w:color="auto" w:fill="FFFFFF"/>
        </w:rPr>
        <w:t>原因是招待费结余。</w:t>
      </w:r>
    </w:p>
    <w:p>
      <w:pPr>
        <w:pStyle w:val="5"/>
        <w:widowControl/>
        <w:shd w:val="clear" w:color="auto" w:fill="FFFFFF"/>
        <w:spacing w:line="525" w:lineRule="atLeast"/>
        <w:ind w:firstLine="643"/>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6、灾害防治及应急管理（类）自然灾害防治（款）地质灾害防治（项）。</w:t>
      </w:r>
    </w:p>
    <w:p>
      <w:pPr>
        <w:pStyle w:val="5"/>
        <w:widowControl/>
        <w:shd w:val="clear" w:color="auto" w:fill="FFFFFF"/>
        <w:spacing w:line="525" w:lineRule="atLeast"/>
        <w:ind w:firstLine="640"/>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年初预算为0万元，支出决算为80万元。决算数大于预算数的</w:t>
      </w:r>
      <w:r>
        <w:rPr>
          <w:rFonts w:hint="eastAsia" w:ascii="宋体" w:hAnsi="宋体" w:eastAsia="宋体" w:cs="宋体"/>
          <w:color w:val="333333"/>
          <w:sz w:val="32"/>
          <w:szCs w:val="32"/>
          <w:shd w:val="clear" w:color="auto" w:fill="FFFFFF"/>
          <w:lang w:eastAsia="zh-CN"/>
        </w:rPr>
        <w:t>主要</w:t>
      </w:r>
      <w:r>
        <w:rPr>
          <w:rFonts w:hint="eastAsia" w:ascii="宋体" w:hAnsi="宋体" w:eastAsia="宋体" w:cs="宋体"/>
          <w:color w:val="333333"/>
          <w:sz w:val="32"/>
          <w:szCs w:val="32"/>
          <w:shd w:val="clear" w:color="auto" w:fill="FFFFFF"/>
        </w:rPr>
        <w:t>原因是</w:t>
      </w:r>
      <w:r>
        <w:rPr>
          <w:rFonts w:hint="eastAsia" w:ascii="宋体" w:hAnsi="宋体" w:eastAsia="宋体" w:cs="宋体"/>
          <w:color w:val="333333"/>
          <w:sz w:val="32"/>
          <w:szCs w:val="32"/>
          <w:shd w:val="clear" w:color="auto" w:fill="FFFFFF"/>
          <w:lang w:eastAsia="zh-CN"/>
        </w:rPr>
        <w:t>分配</w:t>
      </w:r>
      <w:r>
        <w:rPr>
          <w:rFonts w:hint="eastAsia" w:ascii="宋体" w:hAnsi="宋体" w:eastAsia="宋体" w:cs="宋体"/>
          <w:color w:val="333333"/>
          <w:sz w:val="32"/>
          <w:szCs w:val="32"/>
          <w:shd w:val="clear" w:color="auto" w:fill="FFFFFF"/>
        </w:rPr>
        <w:t>上年结转项目指标。</w:t>
      </w:r>
    </w:p>
    <w:p>
      <w:pPr>
        <w:pStyle w:val="5"/>
        <w:widowControl/>
        <w:shd w:val="clear" w:color="auto" w:fill="FFFFFF"/>
        <w:spacing w:line="525" w:lineRule="atLeast"/>
        <w:ind w:firstLine="643"/>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7、住房保障（类）住房改革（款）住房公积金（项）。</w:t>
      </w:r>
    </w:p>
    <w:p>
      <w:pPr>
        <w:pStyle w:val="5"/>
        <w:keepNext w:val="0"/>
        <w:keepLines w:val="0"/>
        <w:pageBreakBefore w:val="0"/>
        <w:widowControl w:val="0"/>
        <w:shd w:val="clear" w:color="auto" w:fill="FFFFFF"/>
        <w:kinsoku/>
        <w:wordWrap/>
        <w:overflowPunct/>
        <w:topLinePunct w:val="0"/>
        <w:autoSpaceDE/>
        <w:autoSpaceDN/>
        <w:bidi w:val="0"/>
        <w:adjustRightInd/>
        <w:snapToGrid/>
        <w:spacing w:line="525" w:lineRule="atLeast"/>
        <w:ind w:firstLine="640"/>
        <w:textAlignment w:val="auto"/>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年初预算111.21为万元，支出决算为111.21万元</w:t>
      </w:r>
      <w:r>
        <w:rPr>
          <w:rFonts w:hint="eastAsia" w:ascii="宋体" w:hAnsi="宋体" w:eastAsia="宋体" w:cs="宋体"/>
          <w:color w:val="333333"/>
          <w:sz w:val="32"/>
          <w:szCs w:val="32"/>
          <w:shd w:val="clear" w:color="auto" w:fill="FFFFFF"/>
          <w:lang w:eastAsia="zh-CN"/>
        </w:rPr>
        <w:t>，</w:t>
      </w:r>
      <w:r>
        <w:rPr>
          <w:rFonts w:hint="eastAsia" w:ascii="宋体" w:hAnsi="宋体" w:eastAsia="宋体" w:cs="宋体"/>
          <w:color w:val="333333"/>
          <w:sz w:val="32"/>
          <w:szCs w:val="32"/>
          <w:shd w:val="clear" w:color="auto" w:fill="FFFFFF"/>
        </w:rPr>
        <w:t>完成年初预算的100%。</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2020年度财政拨款基本支出1344.09万元，其中：人员经费1213.51万元，占基本支出的90.28%,主要包括</w:t>
      </w:r>
      <w:r>
        <w:rPr>
          <w:rFonts w:hint="eastAsia" w:ascii="宋体" w:hAnsi="宋体" w:eastAsia="宋体" w:cs="宋体"/>
          <w:sz w:val="32"/>
          <w:szCs w:val="32"/>
          <w:shd w:val="clear" w:color="auto" w:fill="FFFFFF"/>
        </w:rPr>
        <w:t>基本工资、津贴补贴、奖金、绩效工资、基本养老保险缴费、基本医疗保险缴费、其他社会保障缴费、住房公积金、抚恤金、生活补助、奖励金、其他对个人和家庭的补助</w:t>
      </w:r>
      <w:r>
        <w:rPr>
          <w:rFonts w:hint="eastAsia" w:asciiTheme="minorEastAsia" w:hAnsiTheme="minorEastAsia" w:eastAsiaTheme="minorEastAsia"/>
          <w:sz w:val="32"/>
          <w:szCs w:val="32"/>
        </w:rPr>
        <w:t>；公用经费130.58万元，占基本支出的9.72%，主要包括</w:t>
      </w:r>
      <w:r>
        <w:rPr>
          <w:rFonts w:hint="eastAsia" w:ascii="宋体" w:hAnsi="宋体" w:eastAsia="宋体" w:cs="宋体"/>
          <w:sz w:val="32"/>
          <w:szCs w:val="32"/>
          <w:shd w:val="clear" w:color="auto" w:fill="FFFFFF"/>
        </w:rPr>
        <w:t>办公费、印刷费、水费、电费、邮电费、物业管理费、差旅费、维修（护）费、租赁费、会议费、培训费、公务接待费、劳务费、工会经费、福利费、公务用车维护运行费、其他交通费用、其他商品和服务支出。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“三公”经费财政拨款支出预算为10.6万元，支出决算为10.3万元，完成预算的97.17%，其中：</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eastAsia="zh-CN"/>
        </w:rPr>
        <w:t>，与上年保持一致。</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公务接待费支出预算为0.6万元，支出决算为0.3万元，完成预算的50%，决算数小于预算数的主要原因是</w:t>
      </w:r>
      <w:r>
        <w:rPr>
          <w:rFonts w:hint="eastAsia" w:ascii="宋体" w:hAnsi="宋体" w:eastAsia="宋体" w:cs="宋体"/>
          <w:sz w:val="32"/>
          <w:szCs w:val="32"/>
          <w:shd w:val="clear" w:color="auto" w:fill="FFFFFF"/>
        </w:rPr>
        <w:t>我队厉行节约，严格压缩“三公”经费支出，</w:t>
      </w:r>
      <w:r>
        <w:rPr>
          <w:rFonts w:hint="eastAsia" w:asciiTheme="minorEastAsia" w:hAnsiTheme="minorEastAsia" w:eastAsiaTheme="minorEastAsia"/>
          <w:sz w:val="32"/>
          <w:szCs w:val="32"/>
        </w:rPr>
        <w:t>与上年相比减少0.34万元，减少53.12%,减少的主要原因是</w:t>
      </w:r>
      <w:r>
        <w:rPr>
          <w:rFonts w:hint="eastAsia" w:ascii="宋体" w:hAnsi="宋体" w:eastAsia="宋体" w:cs="宋体"/>
          <w:sz w:val="32"/>
          <w:szCs w:val="32"/>
          <w:shd w:val="clear" w:color="auto" w:fill="FFFFFF"/>
        </w:rPr>
        <w:t>我队厉行节约，严格压缩“三公”经费支出</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公务用车购置费及运行维护费支出预算为10万元，支出决算为10万元，完成预算的100%，与上年相比持平。</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2020年度“三公”经费财政拨款支出决算中，公务接待费支出决算0.3万元，占2.91%</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因公出国（境）费支出决算0万元，公务用车购置费及运行维护费支出决算10万元，占97.09%。其中：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color w:val="auto"/>
          <w:sz w:val="32"/>
          <w:szCs w:val="32"/>
        </w:rPr>
        <w:t>1、因公出国（境）费支出决算为</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万元，全年安排因公出国（境）团组</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个，累计</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人次。</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、公务接待费支出决算为0.3万元，全年共接待来访团组3个、来宾28人次，主要是</w:t>
      </w:r>
      <w:r>
        <w:rPr>
          <w:rFonts w:hint="eastAsia" w:ascii="宋体" w:hAnsi="宋体" w:eastAsia="宋体" w:cs="宋体"/>
          <w:sz w:val="32"/>
          <w:szCs w:val="32"/>
          <w:shd w:val="clear" w:color="auto" w:fill="FFFFFF"/>
        </w:rPr>
        <w:t>日常发生的接待支出</w:t>
      </w:r>
      <w:r>
        <w:rPr>
          <w:rFonts w:hint="eastAsia" w:asciiTheme="minorEastAsia" w:hAnsiTheme="minorEastAsia" w:eastAsiaTheme="minorEastAsia"/>
          <w:sz w:val="32"/>
          <w:szCs w:val="32"/>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lang w:val="en-US" w:eastAsia="zh-CN"/>
        </w:rPr>
        <w:t>3</w:t>
      </w:r>
      <w:r>
        <w:rPr>
          <w:rFonts w:hint="eastAsia" w:asciiTheme="minorEastAsia" w:hAnsiTheme="minorEastAsia"/>
          <w:sz w:val="32"/>
          <w:szCs w:val="32"/>
        </w:rPr>
        <w:t>、公务用车购置费及运行维护费支出决算为10万元，其中：公务用车购置费0万元，公务用车运行维护费10万元，主要用于</w:t>
      </w:r>
      <w:r>
        <w:rPr>
          <w:rFonts w:hint="eastAsia" w:ascii="宋体" w:hAnsi="宋体" w:eastAsia="宋体" w:cs="宋体"/>
          <w:color w:val="333333"/>
          <w:sz w:val="32"/>
          <w:szCs w:val="32"/>
          <w:shd w:val="clear" w:color="auto" w:fill="FFFFFF"/>
        </w:rPr>
        <w:t>燃油费、维修费及保险费等</w:t>
      </w:r>
      <w:r>
        <w:rPr>
          <w:rFonts w:hint="eastAsia" w:asciiTheme="minorEastAsia" w:hAnsiTheme="minorEastAsia"/>
          <w:sz w:val="32"/>
          <w:szCs w:val="32"/>
        </w:rPr>
        <w:t>支出，截止2020年12月31日，我单位开支财政拨款的公务用车保有量为4辆。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asciiTheme="minorEastAsia" w:hAnsiTheme="minorEastAsia" w:eastAsiaTheme="minorEastAsia" w:cstheme="minorBidi"/>
          <w:color w:val="auto"/>
          <w:kern w:val="2"/>
          <w:sz w:val="32"/>
          <w:szCs w:val="32"/>
        </w:rPr>
      </w:pPr>
      <w:r>
        <w:rPr>
          <w:rFonts w:hint="eastAsia" w:asciiTheme="minorEastAsia" w:hAnsiTheme="minorEastAsia" w:eastAsiaTheme="minorEastAsia" w:cstheme="minorBidi"/>
          <w:color w:val="auto"/>
          <w:kern w:val="2"/>
          <w:sz w:val="32"/>
          <w:szCs w:val="32"/>
        </w:rPr>
        <w:t>本单位无政府性基金收支。</w:t>
      </w:r>
    </w:p>
    <w:p>
      <w:pPr>
        <w:pStyle w:val="11"/>
        <w:rPr>
          <w:rFonts w:hAnsi="黑体"/>
          <w:b/>
          <w:sz w:val="32"/>
          <w:szCs w:val="32"/>
        </w:rPr>
      </w:pPr>
      <w:r>
        <w:rPr>
          <w:rFonts w:hint="eastAsia" w:hAnsi="黑体"/>
          <w:b/>
          <w:sz w:val="32"/>
          <w:szCs w:val="32"/>
        </w:rPr>
        <w:t>九、关于机关运行经费支出说明</w:t>
      </w:r>
    </w:p>
    <w:p>
      <w:pPr>
        <w:pStyle w:val="11"/>
        <w:ind w:firstLine="640" w:firstLineChars="200"/>
        <w:rPr>
          <w:rFonts w:asciiTheme="minorEastAsia" w:hAnsiTheme="minorEastAsia" w:eastAsiaTheme="minorEastAsia" w:cstheme="minorBidi"/>
          <w:color w:val="auto"/>
          <w:kern w:val="2"/>
          <w:sz w:val="32"/>
          <w:szCs w:val="32"/>
        </w:rPr>
      </w:pPr>
      <w:r>
        <w:rPr>
          <w:rFonts w:hint="eastAsia" w:asciiTheme="minorEastAsia" w:hAnsiTheme="minorEastAsia" w:eastAsiaTheme="minorEastAsia" w:cstheme="minorBidi"/>
          <w:color w:val="auto"/>
          <w:kern w:val="2"/>
          <w:sz w:val="32"/>
          <w:szCs w:val="32"/>
        </w:rPr>
        <w:t>本单位非行政单位和参照公务员法管理事业单位，无机关运行经费。</w:t>
      </w:r>
    </w:p>
    <w:p>
      <w:pPr>
        <w:pStyle w:val="11"/>
        <w:rPr>
          <w:rFonts w:hAnsi="黑体"/>
          <w:b/>
          <w:sz w:val="32"/>
          <w:szCs w:val="32"/>
        </w:rPr>
      </w:pPr>
      <w:r>
        <w:rPr>
          <w:rFonts w:hint="eastAsia" w:hAnsi="黑体"/>
          <w:b/>
          <w:sz w:val="32"/>
          <w:szCs w:val="32"/>
        </w:rPr>
        <w:t>十、一般性支出情况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开支</w:t>
      </w:r>
      <w:r>
        <w:rPr>
          <w:rFonts w:hint="eastAsia" w:asciiTheme="minorEastAsia" w:hAnsiTheme="minorEastAsia" w:eastAsiaTheme="minorEastAsia" w:cstheme="minorBidi"/>
          <w:color w:val="auto"/>
          <w:kern w:val="2"/>
          <w:sz w:val="32"/>
          <w:szCs w:val="32"/>
        </w:rPr>
        <w:t>会议费</w:t>
      </w:r>
      <w:r>
        <w:rPr>
          <w:rFonts w:hint="eastAsia" w:asciiTheme="minorEastAsia" w:hAnsiTheme="minorEastAsia" w:eastAsiaTheme="minorEastAsia"/>
          <w:sz w:val="32"/>
          <w:szCs w:val="32"/>
        </w:rPr>
        <w:t>2万元，人数92人，用于召开职代会、党员表彰会议、中层干部会议等</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内容为表彰</w:t>
      </w:r>
      <w:r>
        <w:rPr>
          <w:rFonts w:hint="eastAsia" w:asciiTheme="minorEastAsia" w:hAnsiTheme="minorEastAsia" w:eastAsiaTheme="minorEastAsia"/>
          <w:sz w:val="32"/>
          <w:szCs w:val="32"/>
          <w:lang w:eastAsia="zh-CN"/>
        </w:rPr>
        <w:t>先进、单位业务拓展等</w:t>
      </w:r>
      <w:r>
        <w:rPr>
          <w:rFonts w:hint="eastAsia" w:asciiTheme="minorEastAsia" w:hAnsiTheme="minorEastAsia" w:eastAsiaTheme="minorEastAsia"/>
          <w:sz w:val="32"/>
          <w:szCs w:val="32"/>
        </w:rPr>
        <w:t>；开支培训费3.5万元，人数30人，内容为参加上级部门和专业培训机构组织的培训；未举办节庆、晚会、论坛、赛事活动。</w:t>
      </w:r>
    </w:p>
    <w:p>
      <w:pPr>
        <w:pStyle w:val="11"/>
        <w:rPr>
          <w:rFonts w:hAnsi="黑体"/>
          <w:b/>
          <w:sz w:val="32"/>
          <w:szCs w:val="32"/>
        </w:rPr>
      </w:pPr>
      <w:r>
        <w:rPr>
          <w:rFonts w:hint="eastAsia" w:hAnsi="黑体"/>
          <w:b/>
          <w:sz w:val="32"/>
          <w:szCs w:val="32"/>
        </w:rPr>
        <w:t>十一、关于政府采购支出说明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2020年度政府采购支出总额0万元，其中：政府采购货物支出0万元、政府采购工程支出0.00万元、政府采购服务支出0.00万元。授予中小企业合同金额0.00万元，占政府采购支出总额的0%，其中：授予小微企业合同金额0.00万元，占政府采购支出总额的0%。</w:t>
      </w:r>
    </w:p>
    <w:p>
      <w:pPr>
        <w:pStyle w:val="11"/>
        <w:rPr>
          <w:rFonts w:hAnsi="黑体"/>
          <w:b/>
          <w:sz w:val="32"/>
          <w:szCs w:val="32"/>
        </w:rPr>
      </w:pPr>
      <w:r>
        <w:rPr>
          <w:rFonts w:hint="eastAsia" w:hAnsi="黑体"/>
          <w:b/>
          <w:sz w:val="32"/>
          <w:szCs w:val="32"/>
        </w:rPr>
        <w:t>十二、关于国有资产占用情况说明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截至2020年12月31日，本单位共有车辆4辆，其中，其他用车4辆，其他用车主要是两地办公用车和</w:t>
      </w:r>
      <w:r>
        <w:rPr>
          <w:rFonts w:hint="eastAsia" w:ascii="宋体" w:hAnsi="宋体" w:eastAsia="宋体" w:cs="宋体"/>
          <w:sz w:val="32"/>
          <w:szCs w:val="32"/>
          <w:shd w:val="clear" w:color="auto" w:fill="FFFFFF"/>
        </w:rPr>
        <w:t>野外项目工地用车</w:t>
      </w:r>
      <w:r>
        <w:rPr>
          <w:rFonts w:hint="eastAsia" w:asciiTheme="minorEastAsia" w:hAnsiTheme="minorEastAsia" w:eastAsiaTheme="minorEastAsia"/>
          <w:sz w:val="32"/>
          <w:szCs w:val="32"/>
        </w:rPr>
        <w:t>；单位价值50万元以上通用设备0台（套）；单位价值100万元以上专用设备0台（套）。</w:t>
      </w:r>
    </w:p>
    <w:p>
      <w:pPr>
        <w:pStyle w:val="11"/>
        <w:rPr>
          <w:rFonts w:hAnsi="黑体"/>
          <w:b/>
          <w:sz w:val="32"/>
          <w:szCs w:val="32"/>
        </w:rPr>
      </w:pPr>
      <w:r>
        <w:rPr>
          <w:rFonts w:hint="eastAsia" w:hAnsi="黑体"/>
          <w:b/>
          <w:sz w:val="32"/>
          <w:szCs w:val="32"/>
        </w:rPr>
        <w:t>十三、关于2020年度预算绩效情况的说明</w:t>
      </w:r>
    </w:p>
    <w:p>
      <w:pPr>
        <w:pStyle w:val="11"/>
        <w:ind w:firstLine="640" w:firstLineChars="200"/>
        <w:rPr>
          <w:rFonts w:ascii="宋体" w:hAnsi="宋体" w:eastAsia="宋体" w:cs="宋体"/>
          <w:sz w:val="32"/>
          <w:szCs w:val="32"/>
          <w:shd w:val="clear" w:color="auto" w:fill="FFFFFF"/>
        </w:rPr>
      </w:pPr>
      <w:r>
        <w:rPr>
          <w:rFonts w:hint="eastAsia" w:ascii="宋体" w:hAnsi="宋体" w:eastAsia="宋体" w:cs="宋体"/>
          <w:sz w:val="32"/>
          <w:szCs w:val="32"/>
          <w:shd w:val="clear" w:color="auto" w:fill="FFFFFF"/>
        </w:rPr>
        <w:t>已由上级单位汇总公开，本次随部门决算一同公开。</w:t>
      </w:r>
    </w:p>
    <w:p>
      <w:pPr>
        <w:pStyle w:val="11"/>
        <w:jc w:val="center"/>
        <w:rPr>
          <w:sz w:val="72"/>
          <w:szCs w:val="72"/>
        </w:rPr>
        <w:sectPr>
          <w:pgSz w:w="11906" w:h="16838"/>
          <w:pgMar w:top="1418" w:right="1133" w:bottom="1276" w:left="1276" w:header="851" w:footer="992" w:gutter="0"/>
          <w:cols w:space="425" w:num="1"/>
          <w:docGrid w:type="linesAndChars" w:linePitch="312" w:charSpace="0"/>
        </w:sectPr>
      </w:pPr>
    </w:p>
    <w:p>
      <w:pPr>
        <w:pStyle w:val="11"/>
        <w:jc w:val="center"/>
        <w:rPr>
          <w:sz w:val="72"/>
          <w:szCs w:val="72"/>
        </w:rPr>
      </w:pPr>
    </w:p>
    <w:p>
      <w:pPr>
        <w:pStyle w:val="11"/>
        <w:jc w:val="center"/>
        <w:rPr>
          <w:sz w:val="72"/>
          <w:szCs w:val="72"/>
        </w:rPr>
      </w:pPr>
    </w:p>
    <w:p>
      <w:pPr>
        <w:pStyle w:val="11"/>
        <w:jc w:val="center"/>
        <w:rPr>
          <w:sz w:val="28"/>
          <w:szCs w:val="28"/>
        </w:rPr>
      </w:pPr>
    </w:p>
    <w:p>
      <w:pPr>
        <w:pStyle w:val="11"/>
        <w:jc w:val="center"/>
        <w:rPr>
          <w:sz w:val="28"/>
          <w:szCs w:val="28"/>
        </w:rPr>
      </w:pPr>
    </w:p>
    <w:p>
      <w:pPr>
        <w:pStyle w:val="11"/>
        <w:jc w:val="center"/>
        <w:rPr>
          <w:sz w:val="28"/>
          <w:szCs w:val="28"/>
        </w:rPr>
      </w:pPr>
    </w:p>
    <w:p>
      <w:pPr>
        <w:pStyle w:val="11"/>
        <w:jc w:val="center"/>
        <w:rPr>
          <w:sz w:val="72"/>
          <w:szCs w:val="72"/>
        </w:rPr>
      </w:pPr>
    </w:p>
    <w:p>
      <w:pPr>
        <w:pStyle w:val="11"/>
        <w:jc w:val="center"/>
        <w:rPr>
          <w:sz w:val="72"/>
          <w:szCs w:val="72"/>
        </w:rPr>
      </w:pPr>
      <w:r>
        <w:rPr>
          <w:rFonts w:hint="eastAsia"/>
          <w:sz w:val="72"/>
          <w:szCs w:val="72"/>
        </w:rPr>
        <w:t>第四部分</w:t>
      </w:r>
    </w:p>
    <w:p>
      <w:pPr>
        <w:pStyle w:val="11"/>
        <w:jc w:val="center"/>
        <w:rPr>
          <w:sz w:val="72"/>
          <w:szCs w:val="72"/>
        </w:rPr>
      </w:pPr>
    </w:p>
    <w:p>
      <w:pPr>
        <w:jc w:val="center"/>
        <w:rPr>
          <w:rFonts w:ascii="黑体" w:eastAsia="黑体" w:cs="黑体"/>
          <w:color w:val="000000"/>
          <w:kern w:val="0"/>
          <w:sz w:val="70"/>
          <w:szCs w:val="70"/>
        </w:rPr>
        <w:sectPr>
          <w:pgSz w:w="11906" w:h="16838"/>
          <w:pgMar w:top="720" w:right="720" w:bottom="720" w:left="720" w:header="851" w:footer="992" w:gutter="0"/>
          <w:cols w:space="425" w:num="1"/>
          <w:docGrid w:type="linesAndChars" w:linePitch="312" w:charSpace="0"/>
        </w:sectPr>
      </w:pPr>
      <w:r>
        <w:rPr>
          <w:rFonts w:hint="eastAsia" w:ascii="黑体" w:eastAsia="黑体" w:cs="黑体"/>
          <w:color w:val="000000"/>
          <w:kern w:val="0"/>
          <w:sz w:val="70"/>
          <w:szCs w:val="70"/>
        </w:rPr>
        <w:t>名词解</w:t>
      </w:r>
    </w:p>
    <w:p>
      <w:pPr>
        <w:rPr>
          <w:rFonts w:ascii="黑体" w:eastAsia="黑体" w:cs="黑体"/>
          <w:color w:val="000000"/>
          <w:kern w:val="0"/>
          <w:sz w:val="70"/>
          <w:szCs w:val="70"/>
        </w:rPr>
      </w:pP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b/>
          <w:bCs/>
          <w:color w:val="auto"/>
          <w:sz w:val="32"/>
          <w:szCs w:val="32"/>
        </w:rPr>
        <w:t>一、基本支出：</w:t>
      </w:r>
      <w:r>
        <w:rPr>
          <w:rFonts w:hint="eastAsia" w:asciiTheme="minorEastAsia" w:hAnsiTheme="minorEastAsia" w:eastAsiaTheme="minorEastAsia"/>
          <w:color w:val="auto"/>
          <w:sz w:val="32"/>
          <w:szCs w:val="32"/>
        </w:rPr>
        <w:t>指为保障机构正常运转、完成日常工作任务而发生的人员支出和公用支出。</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b/>
          <w:bCs/>
          <w:color w:val="auto"/>
          <w:sz w:val="32"/>
          <w:szCs w:val="32"/>
        </w:rPr>
        <w:t>二、项目支出：</w:t>
      </w:r>
      <w:r>
        <w:rPr>
          <w:rFonts w:hint="eastAsia" w:asciiTheme="minorEastAsia" w:hAnsiTheme="minorEastAsia" w:eastAsiaTheme="minorEastAsia"/>
          <w:color w:val="auto"/>
          <w:sz w:val="32"/>
          <w:szCs w:val="32"/>
        </w:rPr>
        <w:t>指在基本支出之外为完成特定行政任务和事业发展目标所发生的支出。</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b/>
          <w:bCs/>
          <w:color w:val="auto"/>
          <w:sz w:val="32"/>
          <w:szCs w:val="32"/>
        </w:rPr>
        <w:t>三、经营支出：</w:t>
      </w:r>
      <w:r>
        <w:rPr>
          <w:rFonts w:hint="eastAsia" w:asciiTheme="minorEastAsia" w:hAnsiTheme="minorEastAsia" w:eastAsiaTheme="minorEastAsia"/>
          <w:color w:val="auto"/>
          <w:sz w:val="32"/>
          <w:szCs w:val="32"/>
        </w:rPr>
        <w:t>指事业单位在专业业务活动及其辅助活动之外开展非独立核算经营活动所发生的支出。</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bCs/>
          <w:color w:val="auto"/>
          <w:sz w:val="32"/>
          <w:szCs w:val="32"/>
        </w:rPr>
        <w:t>四、</w:t>
      </w:r>
      <w:r>
        <w:rPr>
          <w:rFonts w:hint="eastAsia" w:asciiTheme="minorEastAsia" w:hAnsiTheme="minorEastAsia" w:eastAsiaTheme="minorEastAsia"/>
          <w:b/>
          <w:bCs/>
          <w:color w:val="auto"/>
          <w:sz w:val="32"/>
          <w:szCs w:val="32"/>
        </w:rPr>
        <w:t>“三公”经费</w:t>
      </w:r>
      <w:r>
        <w:rPr>
          <w:rFonts w:hint="eastAsia" w:asciiTheme="minorEastAsia" w:hAnsiTheme="minorEastAsia" w:eastAsiaTheme="minorEastAsia"/>
          <w:bCs/>
          <w:color w:val="auto"/>
          <w:sz w:val="32"/>
          <w:szCs w:val="32"/>
        </w:rPr>
        <w:t>：指通过财政拨款资金安排的因公出国（境）费、公务用车购置及运行费和公务接待费支出。</w:t>
      </w:r>
    </w:p>
    <w:p>
      <w:pPr>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五、</w:t>
      </w:r>
      <w:r>
        <w:rPr>
          <w:rFonts w:hint="eastAsia" w:cs="黑体" w:asciiTheme="minorEastAsia" w:hAnsiTheme="minorEastAsia"/>
          <w:b/>
          <w:kern w:val="0"/>
          <w:sz w:val="32"/>
          <w:szCs w:val="32"/>
        </w:rPr>
        <w:t>机关运行经费：</w:t>
      </w:r>
      <w:r>
        <w:rPr>
          <w:rFonts w:hint="eastAsia" w:cs="黑体" w:asciiTheme="minorEastAsia" w:hAnsiTheme="minorEastAsia"/>
          <w:kern w:val="0"/>
          <w:sz w:val="32"/>
          <w:szCs w:val="32"/>
        </w:rPr>
        <w:t>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ind w:firstLine="640" w:firstLineChars="200"/>
        <w:jc w:val="left"/>
        <w:rPr>
          <w:rFonts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sectPr>
          <w:pgSz w:w="11906" w:h="16838"/>
          <w:pgMar w:top="1276" w:right="1416" w:bottom="720" w:left="1276" w:header="851" w:footer="992" w:gutter="0"/>
          <w:cols w:space="425" w:num="1"/>
          <w:docGrid w:type="linesAndChars" w:linePitch="312" w:charSpace="0"/>
        </w:sect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sectPr>
          <w:pgSz w:w="11906" w:h="16838"/>
          <w:pgMar w:top="720" w:right="720" w:bottom="720" w:left="720" w:header="851" w:footer="992" w:gutter="0"/>
          <w:cols w:space="425" w:num="1"/>
          <w:docGrid w:type="linesAndChars" w:linePitch="312" w:charSpace="0"/>
        </w:sectPr>
      </w:pPr>
      <w:r>
        <w:rPr>
          <w:rFonts w:hint="eastAsia" w:ascii="黑体" w:eastAsia="黑体" w:cs="黑体"/>
          <w:color w:val="000000"/>
          <w:kern w:val="0"/>
          <w:sz w:val="70"/>
          <w:szCs w:val="70"/>
        </w:rPr>
        <w:t>附件</w:t>
      </w:r>
    </w:p>
    <w:p>
      <w:pPr>
        <w:widowControl/>
        <w:jc w:val="left"/>
        <w:rPr>
          <w:rFonts w:cs="黑体" w:asciiTheme="minorEastAsia" w:hAnsiTheme="minorEastAsia"/>
          <w:b/>
          <w:color w:val="000000"/>
          <w:kern w:val="0"/>
          <w:sz w:val="32"/>
          <w:szCs w:val="32"/>
        </w:rPr>
      </w:pPr>
    </w:p>
    <w:p>
      <w:pPr>
        <w:widowControl/>
        <w:ind w:firstLine="180" w:firstLineChars="50"/>
        <w:jc w:val="center"/>
        <w:rPr>
          <w:rFonts w:ascii="黑体" w:eastAsia="黑体" w:cs="黑体" w:hAnsiTheme="minorEastAsia"/>
          <w:b/>
          <w:color w:val="000000"/>
          <w:kern w:val="0"/>
          <w:sz w:val="36"/>
          <w:szCs w:val="36"/>
        </w:rPr>
      </w:pPr>
      <w:r>
        <w:rPr>
          <w:rFonts w:hint="eastAsia" w:ascii="黑体" w:eastAsia="黑体" w:cs="黑体" w:hAnsiTheme="minorEastAsia"/>
          <w:b/>
          <w:color w:val="000000"/>
          <w:kern w:val="0"/>
          <w:sz w:val="36"/>
          <w:szCs w:val="36"/>
        </w:rPr>
        <w:t>2020年度部门整体支出绩效评价报告</w:t>
      </w:r>
    </w:p>
    <w:p>
      <w:pPr>
        <w:widowControl/>
        <w:ind w:firstLine="160" w:firstLineChars="50"/>
        <w:jc w:val="center"/>
        <w:rPr>
          <w:rFonts w:cs="黑体" w:asciiTheme="minorEastAsia" w:hAnsiTheme="minorEastAsia"/>
          <w:b/>
          <w:color w:val="000000"/>
          <w:kern w:val="0"/>
          <w:sz w:val="32"/>
          <w:szCs w:val="32"/>
        </w:rPr>
      </w:pPr>
    </w:p>
    <w:p>
      <w:pPr>
        <w:numPr>
          <w:ilvl w:val="0"/>
          <w:numId w:val="2"/>
        </w:numPr>
        <w:ind w:firstLine="640" w:firstLineChars="200"/>
        <w:rPr>
          <w:rFonts w:ascii="黑体" w:eastAsia="黑体"/>
          <w:sz w:val="32"/>
          <w:szCs w:val="32"/>
        </w:rPr>
      </w:pPr>
      <w:r>
        <w:rPr>
          <w:rFonts w:hint="eastAsia" w:ascii="黑体" w:eastAsia="黑体"/>
          <w:sz w:val="32"/>
          <w:szCs w:val="32"/>
        </w:rPr>
        <w:t>单位基本情况</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1.基本介绍。</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湖南省煤田地质局水工环地质勘探队系2013年撤并湖南省煤田技校、湖南省煤田地质局试验室、湖南省煤田地质局制图印刷中心三家事业单位组建而成，地址位于长沙市雨花区万家丽中路三段76号，隶属于湖南省地质院。我队主要从事矿产地质调查、勘察；水文地质勘察；工程地质勘察；环境地质勘察；地质测绘、地质勘探工程；煤炭资源储量评估；矿山安全程度评估及建设项目预评价；教育培训等相关社会服务。</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2.机构情况。</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本单位队级领导一正三负。下设十个职能科室，分别为行政办公室、党委办公室、财务资产科、劳动人事科、经审科、总工办、安全设备科、纪检科、工会、水文所等十个。</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3.人员情况。</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我单位事业编制148人，年初事业编制内人员103人，本年退休10人，辞职1人，年末事业编制内人数92人；年初退休人员128人，本年新增退休10人，年末退休人员 138 人。2020年末从事工程勘察的技术人员及管理人员在职员工21人，其中：高级职称6人，中级职称13人，初级职称2人。</w:t>
      </w:r>
    </w:p>
    <w:p>
      <w:pPr>
        <w:widowControl/>
        <w:spacing w:line="600" w:lineRule="exact"/>
        <w:ind w:firstLine="640" w:firstLineChars="200"/>
        <w:rPr>
          <w:rFonts w:eastAsia="黑体"/>
          <w:sz w:val="32"/>
          <w:szCs w:val="32"/>
        </w:rPr>
      </w:pPr>
      <w:r>
        <w:rPr>
          <w:rFonts w:hint="eastAsia" w:eastAsia="黑体"/>
          <w:sz w:val="32"/>
          <w:szCs w:val="32"/>
        </w:rPr>
        <w:t>二、一般公共预算支出情况</w:t>
      </w:r>
    </w:p>
    <w:p>
      <w:pPr>
        <w:widowControl/>
        <w:spacing w:line="600" w:lineRule="exact"/>
        <w:ind w:firstLine="627" w:firstLineChars="196"/>
        <w:rPr>
          <w:rFonts w:ascii="楷体_GB2312" w:eastAsia="楷体_GB2312"/>
          <w:b/>
          <w:sz w:val="32"/>
          <w:szCs w:val="32"/>
        </w:rPr>
      </w:pPr>
      <w:r>
        <w:rPr>
          <w:rFonts w:hint="eastAsia" w:ascii="楷体_GB2312" w:eastAsia="楷体_GB2312"/>
          <w:b/>
          <w:sz w:val="32"/>
          <w:szCs w:val="32"/>
        </w:rPr>
        <w:t>（一）基本支出情况</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全年财政拨款支出1344.08万元，按支出功能分类科目，其中：培训支出3.5万元，机关事业单位基本养老保险缴费支出168.07万元，事业单位医疗80.63万元，其他资源勘探业支出330.3万元，事业运行650.37万元，住房公积金111.21万元。</w:t>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按支出经济用途分类，其中：工资福利支出1199.51万元，其中基本工资222.55万元，绩效工资176.05万元，津贴补贴110.7万元，综治奖330.3万元，基本养老保险148.23万元，基本医疗保险80.63万元，其他社会保险19.84万元，住房公积金111.21万元；商品服务支出130.57万元，其中招待费节余3047元；对个人及家庭补助支出14万元。</w:t>
      </w:r>
    </w:p>
    <w:p>
      <w:pPr>
        <w:widowControl/>
        <w:numPr>
          <w:ilvl w:val="0"/>
          <w:numId w:val="3"/>
        </w:numPr>
        <w:spacing w:line="600" w:lineRule="exact"/>
        <w:ind w:firstLine="627" w:firstLineChars="196"/>
        <w:rPr>
          <w:rFonts w:ascii="楷体_GB2312" w:eastAsia="楷体_GB2312"/>
          <w:b/>
          <w:sz w:val="32"/>
          <w:szCs w:val="32"/>
        </w:rPr>
      </w:pPr>
      <w:r>
        <w:rPr>
          <w:rFonts w:hint="eastAsia" w:ascii="楷体_GB2312" w:eastAsia="楷体_GB2312"/>
          <w:b/>
          <w:sz w:val="32"/>
          <w:szCs w:val="32"/>
        </w:rPr>
        <w:t>项目支出情况</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年项目支出80万元，为2019年自然灾害防治体系建设补助资金（第一批），项目名称为永顺县集镇地质灾害勘查项目。该项目严格按预算安排支出，本年度已完工结算。其中主要支出经济科目有：劳务费28.99万元，差旅费16.46万元，委托业务费27.43万元，交通费2.5万元等。通过勘查，摸清了永顺县地质灾害分布情况，协助永顺县人民政府、县国土局完善地灾防治体系，提出地灾防治措施建议，为永顺县地灾防治工作提供依据。</w:t>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我单位本年度年中追加81.3万元地勘发展专项资金，用于解决历史遗留问题，弥补经费不足；</w:t>
      </w:r>
    </w:p>
    <w:p>
      <w:pPr>
        <w:widowControl/>
        <w:spacing w:line="600" w:lineRule="exact"/>
        <w:ind w:firstLine="640" w:firstLineChars="200"/>
        <w:jc w:val="left"/>
        <w:rPr>
          <w:rFonts w:eastAsia="黑体"/>
          <w:sz w:val="32"/>
          <w:szCs w:val="32"/>
        </w:rPr>
      </w:pPr>
      <w:r>
        <w:rPr>
          <w:rFonts w:hint="eastAsia" w:eastAsia="黑体"/>
          <w:sz w:val="32"/>
          <w:szCs w:val="32"/>
        </w:rPr>
        <w:t>三、政府性基金预算支出情况</w:t>
      </w:r>
    </w:p>
    <w:p>
      <w:pPr>
        <w:widowControl/>
        <w:spacing w:line="600" w:lineRule="exact"/>
        <w:ind w:firstLine="640" w:firstLineChars="200"/>
        <w:jc w:val="left"/>
        <w:rPr>
          <w:rFonts w:ascii="仿宋_GB2312" w:hAnsi="仿宋" w:eastAsia="仿宋_GB2312"/>
          <w:sz w:val="32"/>
          <w:szCs w:val="32"/>
        </w:rPr>
      </w:pPr>
      <w:r>
        <w:rPr>
          <w:rFonts w:hint="eastAsia" w:cs="黑体" w:asciiTheme="minorEastAsia" w:hAnsiTheme="minorEastAsia"/>
          <w:color w:val="000000"/>
          <w:kern w:val="0"/>
          <w:sz w:val="32"/>
          <w:szCs w:val="32"/>
        </w:rPr>
        <w:t>本单位无政府性基金预算支出。</w:t>
      </w:r>
    </w:p>
    <w:p>
      <w:pPr>
        <w:widowControl/>
        <w:spacing w:line="600" w:lineRule="exact"/>
        <w:ind w:firstLine="640" w:firstLineChars="200"/>
        <w:jc w:val="left"/>
        <w:rPr>
          <w:rFonts w:eastAsia="黑体"/>
          <w:sz w:val="32"/>
          <w:szCs w:val="32"/>
        </w:rPr>
      </w:pPr>
      <w:r>
        <w:rPr>
          <w:rFonts w:hint="eastAsia" w:eastAsia="黑体"/>
          <w:sz w:val="32"/>
          <w:szCs w:val="32"/>
        </w:rPr>
        <w:t>四、国有资本经营预算支出情况</w:t>
      </w:r>
    </w:p>
    <w:p>
      <w:pPr>
        <w:widowControl/>
        <w:spacing w:line="600" w:lineRule="exact"/>
        <w:ind w:firstLine="640" w:firstLineChars="200"/>
        <w:jc w:val="left"/>
        <w:rPr>
          <w:rFonts w:ascii="仿宋_GB2312" w:hAnsi="仿宋" w:eastAsia="仿宋_GB2312"/>
          <w:sz w:val="32"/>
          <w:szCs w:val="32"/>
        </w:rPr>
      </w:pPr>
      <w:r>
        <w:rPr>
          <w:rFonts w:hint="eastAsia" w:cs="黑体" w:asciiTheme="minorEastAsia" w:hAnsiTheme="minorEastAsia"/>
          <w:color w:val="000000"/>
          <w:kern w:val="0"/>
          <w:sz w:val="32"/>
          <w:szCs w:val="32"/>
        </w:rPr>
        <w:t>本单位无国有资本经营预算支出。</w:t>
      </w:r>
    </w:p>
    <w:p>
      <w:pPr>
        <w:widowControl/>
        <w:spacing w:line="600" w:lineRule="exact"/>
        <w:ind w:firstLine="640" w:firstLineChars="200"/>
        <w:jc w:val="left"/>
        <w:rPr>
          <w:rFonts w:eastAsia="黑体"/>
          <w:sz w:val="32"/>
          <w:szCs w:val="32"/>
        </w:rPr>
      </w:pPr>
      <w:r>
        <w:rPr>
          <w:rFonts w:hint="eastAsia" w:eastAsia="黑体"/>
          <w:sz w:val="32"/>
          <w:szCs w:val="32"/>
        </w:rPr>
        <w:t>五、社会保险基金预算支出情况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本单位无社会保险基金预算支出。</w:t>
      </w:r>
    </w:p>
    <w:p>
      <w:pPr>
        <w:widowControl/>
        <w:numPr>
          <w:ilvl w:val="0"/>
          <w:numId w:val="4"/>
        </w:numPr>
        <w:spacing w:line="600" w:lineRule="exact"/>
        <w:ind w:left="0" w:firstLine="641"/>
        <w:jc w:val="left"/>
        <w:rPr>
          <w:rFonts w:eastAsia="黑体"/>
          <w:sz w:val="32"/>
          <w:szCs w:val="32"/>
        </w:rPr>
      </w:pPr>
      <w:r>
        <w:rPr>
          <w:rFonts w:hint="eastAsia" w:eastAsia="黑体"/>
          <w:sz w:val="32"/>
          <w:szCs w:val="32"/>
        </w:rPr>
        <w:t>单位整体支出绩效情况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1、业务开展情况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人员费存在缺口，基本支出中优先保障人员的支出，职工收入得到保证，稳定了职工队伍，职工幸福指数不断提高；按预算安排公用经费，厉行节约，提高效率,保证事业成效；按项目核算的有两项，一是永顺县地灾勘查项目，严格按批准的预算支出，规范支出范围，指标为上年结转。二是地勘发展专项，用于单位基地维护等事项。</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为更好适应改革的新形势、新局面，保障全队经济工作在改革过程中平稳、有序的发展，我队进一步完善各部门各岗位的管理制度、明确岗位职责，不断推进标准化、规范化、制度化管理，为适应地勘单位改革做好准备，并取得了较好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队地勘工作重心为民生地质、环境地质、灾害治理等，全年完成生态环境勘查、设计、治理、危险性评估、大地质技术服务类项目多个，在工程地质勘察、水林湖草生态修复、地质灾害综防建设方面取得了较好的成效。本年度承担中央财政专项资金项目1个，项目经费80万元。该项目已完成野外地质勘查，目前正在完善野外验收资料。</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2、资产管理情况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从2019年1月1日开始执行政府会计制度，会计政策的变更相应改变了资产管理模式，从购买到处置，本单位均严格参照行政事业单位资产管理制度。另外，行政事业单位国有资产动态管理系统的更新升级及资产月报、年报对固定资产管理现有管理模式也提出了新的要求，我单位资产管理制度本年度进一步细化，增加了可操作性。</w:t>
      </w:r>
    </w:p>
    <w:p>
      <w:pPr>
        <w:widowControl/>
        <w:spacing w:line="600" w:lineRule="exact"/>
        <w:ind w:left="840"/>
        <w:jc w:val="left"/>
        <w:rPr>
          <w:rFonts w:eastAsia="黑体"/>
          <w:sz w:val="32"/>
          <w:szCs w:val="32"/>
        </w:rPr>
      </w:pPr>
      <w:r>
        <w:rPr>
          <w:rFonts w:hint="eastAsia" w:eastAsia="黑体"/>
          <w:sz w:val="32"/>
          <w:szCs w:val="32"/>
        </w:rPr>
        <w:t>七、存在的问题及原因分析</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预算编制还缺乏科学与严谨。原因主要为预算宣传与学习欠缺，全员预算意识不太强，导致实际执行与预算编制略有差异，影响预算执行与工作开展。</w:t>
      </w:r>
    </w:p>
    <w:p>
      <w:pPr>
        <w:widowControl/>
        <w:spacing w:line="600" w:lineRule="exact"/>
        <w:ind w:left="840"/>
        <w:jc w:val="left"/>
        <w:rPr>
          <w:rFonts w:eastAsia="黑体"/>
          <w:sz w:val="32"/>
          <w:szCs w:val="32"/>
        </w:rPr>
      </w:pPr>
      <w:r>
        <w:rPr>
          <w:rFonts w:hint="eastAsia" w:eastAsia="黑体"/>
          <w:sz w:val="32"/>
          <w:szCs w:val="32"/>
        </w:rPr>
        <w:t>八、下一步改进措施</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1、加强预算宣传，增强全员预算意识，提高预算编制的准确性。</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2、严格执行各级财务制度，进一步完善单位内部控制体系，强化资金和资产管理。</w:t>
      </w:r>
    </w:p>
    <w:p>
      <w:pPr>
        <w:ind w:left="220" w:firstLine="640" w:firstLineChars="200"/>
        <w:jc w:val="left"/>
        <w:rPr>
          <w:rFonts w:ascii="仿宋_GB2312" w:eastAsia="仿宋_GB2312"/>
          <w:sz w:val="32"/>
          <w:szCs w:val="32"/>
        </w:rPr>
      </w:pPr>
      <w:r>
        <w:rPr>
          <w:rFonts w:hint="eastAsia" w:eastAsia="黑体"/>
          <w:sz w:val="32"/>
          <w:szCs w:val="32"/>
        </w:rPr>
        <w:t>九、部门整体支出绩效自评结果拟应用和公开情况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2020年度整体支出绩效自评报告拟在本单位门户网站公开，接受社会监督。</w:t>
      </w:r>
    </w:p>
    <w:p>
      <w:pPr>
        <w:spacing w:afterLines="50" w:line="600" w:lineRule="exact"/>
        <w:jc w:val="center"/>
        <w:rPr>
          <w:rFonts w:eastAsia="方正小标宋_GBK"/>
          <w:kern w:val="0"/>
          <w:sz w:val="36"/>
          <w:szCs w:val="36"/>
        </w:rPr>
      </w:pPr>
    </w:p>
    <w:p>
      <w:pPr>
        <w:spacing w:afterLines="50" w:line="600" w:lineRule="exact"/>
        <w:jc w:val="center"/>
        <w:rPr>
          <w:rFonts w:eastAsia="方正小标宋_GBK"/>
          <w:kern w:val="0"/>
          <w:sz w:val="36"/>
          <w:szCs w:val="36"/>
        </w:rPr>
      </w:pPr>
    </w:p>
    <w:p>
      <w:pPr>
        <w:spacing w:afterLines="50" w:line="600" w:lineRule="exact"/>
        <w:jc w:val="center"/>
        <w:rPr>
          <w:rFonts w:ascii="黑体" w:eastAsia="黑体"/>
          <w:kern w:val="0"/>
          <w:sz w:val="36"/>
          <w:szCs w:val="36"/>
        </w:rPr>
        <w:sectPr>
          <w:pgSz w:w="11906" w:h="16838"/>
          <w:pgMar w:top="1276" w:right="1558" w:bottom="1418" w:left="1418" w:header="851" w:footer="992" w:gutter="0"/>
          <w:cols w:space="425" w:num="1"/>
          <w:docGrid w:type="linesAndChars" w:linePitch="312" w:charSpace="0"/>
        </w:sectPr>
      </w:pPr>
    </w:p>
    <w:p>
      <w:pPr>
        <w:spacing w:afterLines="50" w:line="600" w:lineRule="exact"/>
        <w:jc w:val="center"/>
        <w:rPr>
          <w:rFonts w:ascii="黑体" w:eastAsia="黑体"/>
          <w:kern w:val="0"/>
          <w:sz w:val="36"/>
          <w:szCs w:val="36"/>
        </w:rPr>
      </w:pPr>
    </w:p>
    <w:p>
      <w:pPr>
        <w:spacing w:afterLines="50" w:line="600" w:lineRule="exact"/>
        <w:jc w:val="center"/>
        <w:rPr>
          <w:rFonts w:ascii="黑体" w:eastAsia="黑体"/>
          <w:kern w:val="0"/>
          <w:sz w:val="24"/>
        </w:rPr>
      </w:pPr>
      <w:r>
        <w:rPr>
          <w:rFonts w:hint="eastAsia" w:ascii="黑体" w:eastAsia="黑体"/>
          <w:kern w:val="0"/>
          <w:sz w:val="36"/>
          <w:szCs w:val="36"/>
        </w:rPr>
        <w:t>2020年度单位整体支出绩效评价基础数据表</w:t>
      </w:r>
    </w:p>
    <w:tbl>
      <w:tblPr>
        <w:tblStyle w:val="6"/>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148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92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62.16%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20.64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20.6</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20.3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0.64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0.6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0.3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rPr>
                <w:rFonts w:eastAsia="仿宋_GB2312"/>
                <w:kern w:val="0"/>
                <w:szCs w:val="21"/>
              </w:rPr>
            </w:pPr>
            <w:r>
              <w:rPr>
                <w:rFonts w:hint="eastAsia" w:eastAsia="仿宋_GB2312"/>
                <w:kern w:val="0"/>
                <w:szCs w:val="21"/>
              </w:rPr>
              <w:t>3、省改革地勘发展专项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81.78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永顺县集镇地质灾害勘查项目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16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23.5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23.5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4.89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5.5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p>
          <w:p>
            <w:pPr>
              <w:widowControl/>
              <w:spacing w:line="240" w:lineRule="exact"/>
              <w:jc w:val="center"/>
              <w:rPr>
                <w:rFonts w:eastAsia="仿宋_GB2312"/>
                <w:bCs/>
                <w:kern w:val="0"/>
                <w:szCs w:val="21"/>
              </w:rPr>
            </w:pP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jc w:val="left"/>
        <w:rPr>
          <w:rFonts w:eastAsia="仿宋_GB2312"/>
          <w:kern w:val="0"/>
          <w:sz w:val="22"/>
        </w:rPr>
      </w:pPr>
    </w:p>
    <w:p>
      <w:pPr>
        <w:widowControl/>
        <w:spacing w:afterLines="50" w:line="400" w:lineRule="exact"/>
        <w:jc w:val="left"/>
        <w:rPr>
          <w:rFonts w:eastAsia="仿宋_GB2312"/>
          <w:kern w:val="0"/>
          <w:sz w:val="22"/>
        </w:rPr>
      </w:pPr>
      <w:r>
        <w:rPr>
          <w:rFonts w:hint="eastAsia" w:eastAsia="仿宋_GB2312"/>
          <w:kern w:val="0"/>
          <w:sz w:val="22"/>
        </w:rPr>
        <w:t>填表人：彭奕填报日期：2021.4.28联系电话：13873399858单位负责人签字：</w:t>
      </w:r>
      <w:r>
        <w:rPr>
          <w:rFonts w:eastAsia="仿宋_GB2312"/>
          <w:kern w:val="0"/>
          <w:sz w:val="22"/>
        </w:rPr>
        <w:br w:type="page"/>
      </w:r>
    </w:p>
    <w:p>
      <w:pPr>
        <w:widowControl/>
        <w:spacing w:afterLines="50" w:line="400" w:lineRule="exact"/>
        <w:jc w:val="center"/>
        <w:rPr>
          <w:rFonts w:ascii="黑体" w:eastAsia="黑体"/>
          <w:kern w:val="0"/>
          <w:sz w:val="36"/>
          <w:szCs w:val="36"/>
        </w:rPr>
        <w:sectPr>
          <w:pgSz w:w="11906" w:h="16838"/>
          <w:pgMar w:top="720" w:right="720" w:bottom="720" w:left="720" w:header="851" w:footer="992" w:gutter="0"/>
          <w:cols w:space="425" w:num="1"/>
          <w:docGrid w:type="linesAndChars" w:linePitch="312" w:charSpace="0"/>
        </w:sectPr>
      </w:pPr>
    </w:p>
    <w:p>
      <w:pPr>
        <w:widowControl/>
        <w:spacing w:afterLines="50" w:line="400" w:lineRule="exact"/>
        <w:jc w:val="center"/>
        <w:rPr>
          <w:rFonts w:ascii="黑体" w:eastAsia="黑体"/>
          <w:kern w:val="0"/>
          <w:sz w:val="36"/>
          <w:szCs w:val="36"/>
        </w:rPr>
      </w:pPr>
    </w:p>
    <w:p>
      <w:pPr>
        <w:widowControl/>
        <w:spacing w:afterLines="50" w:line="400" w:lineRule="exact"/>
        <w:jc w:val="center"/>
        <w:rPr>
          <w:rFonts w:ascii="黑体" w:eastAsia="黑体"/>
          <w:kern w:val="0"/>
          <w:sz w:val="36"/>
          <w:szCs w:val="36"/>
        </w:rPr>
      </w:pPr>
      <w:r>
        <w:rPr>
          <w:rFonts w:hint="eastAsia" w:ascii="黑体" w:eastAsia="黑体"/>
          <w:kern w:val="0"/>
          <w:sz w:val="36"/>
          <w:szCs w:val="36"/>
        </w:rPr>
        <w:t>2020年度单位整体支出绩效自评表</w:t>
      </w:r>
    </w:p>
    <w:tbl>
      <w:tblPr>
        <w:tblStyle w:val="6"/>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湖南省煤田地质局水工环地质勘探队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年度预</w:t>
            </w:r>
          </w:p>
          <w:p>
            <w:pPr>
              <w:widowControl/>
              <w:spacing w:line="240" w:lineRule="exact"/>
              <w:jc w:val="center"/>
              <w:rPr>
                <w:rFonts w:eastAsia="仿宋_GB2312"/>
                <w:kern w:val="0"/>
                <w:szCs w:val="21"/>
              </w:rPr>
            </w:pPr>
            <w:r>
              <w:rPr>
                <w:rFonts w:hint="eastAsia" w:eastAsia="仿宋_GB2312"/>
                <w:kern w:val="0"/>
                <w:szCs w:val="21"/>
              </w:rPr>
              <w:t>算申请</w:t>
            </w:r>
          </w:p>
          <w:p>
            <w:pPr>
              <w:widowControl/>
              <w:spacing w:line="240" w:lineRule="exact"/>
              <w:jc w:val="center"/>
              <w:rPr>
                <w:rFonts w:eastAsia="仿宋_GB2312"/>
                <w:kern w:val="0"/>
                <w:szCs w:val="21"/>
              </w:rPr>
            </w:pPr>
            <w:r>
              <w:rPr>
                <w:rFonts w:hint="eastAsia" w:eastAsia="仿宋_GB2312"/>
                <w:kern w:val="0"/>
                <w:szCs w:val="21"/>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年初</w:t>
            </w:r>
          </w:p>
          <w:p>
            <w:pPr>
              <w:spacing w:line="240" w:lineRule="exact"/>
              <w:jc w:val="center"/>
              <w:rPr>
                <w:rFonts w:eastAsia="仿宋_GB2312"/>
                <w:szCs w:val="21"/>
              </w:rPr>
            </w:pPr>
            <w:r>
              <w:rPr>
                <w:rFonts w:hint="eastAsia" w:eastAsia="仿宋_GB2312"/>
                <w:szCs w:val="21"/>
              </w:rPr>
              <w:t>预算数</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kern w:val="0"/>
                <w:szCs w:val="21"/>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kern w:val="0"/>
                <w:szCs w:val="21"/>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1014.09</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1506.17</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1505.87</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99.98%</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9</w:t>
            </w:r>
          </w:p>
        </w:tc>
      </w:tr>
      <w:tr>
        <w:tblPrEx>
          <w:tblCellMar>
            <w:top w:w="0" w:type="dxa"/>
            <w:left w:w="108" w:type="dxa"/>
            <w:bottom w:w="0" w:type="dxa"/>
            <w:right w:w="108" w:type="dxa"/>
          </w:tblCellMar>
        </w:tblPrEx>
        <w:trPr>
          <w:trHeight w:val="325"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按收入性质分：</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按支出性质分：</w:t>
            </w:r>
          </w:p>
        </w:tc>
      </w:tr>
      <w:tr>
        <w:tblPrEx>
          <w:tblCellMar>
            <w:top w:w="0" w:type="dxa"/>
            <w:left w:w="108" w:type="dxa"/>
            <w:bottom w:w="0" w:type="dxa"/>
            <w:right w:w="108" w:type="dxa"/>
          </w:tblCellMar>
        </w:tblPrEx>
        <w:trPr>
          <w:trHeight w:val="34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其中：一般公共预算：1257.69</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其中：基本支出：1344.09</w:t>
            </w:r>
          </w:p>
        </w:tc>
      </w:tr>
      <w:tr>
        <w:tblPrEx>
          <w:tblCellMar>
            <w:top w:w="0" w:type="dxa"/>
            <w:left w:w="108" w:type="dxa"/>
            <w:bottom w:w="0" w:type="dxa"/>
            <w:right w:w="108" w:type="dxa"/>
          </w:tblCellMar>
        </w:tblPrEx>
        <w:trPr>
          <w:trHeight w:val="385"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政府性基金拨款：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项目支出：161.78</w:t>
            </w:r>
          </w:p>
        </w:tc>
      </w:tr>
      <w:tr>
        <w:tblPrEx>
          <w:tblCellMar>
            <w:top w:w="0" w:type="dxa"/>
            <w:left w:w="108" w:type="dxa"/>
            <w:bottom w:w="0" w:type="dxa"/>
            <w:right w:w="108" w:type="dxa"/>
          </w:tblCellMar>
        </w:tblPrEx>
        <w:trPr>
          <w:trHeight w:val="31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纳入专户管理的非税收入拨款：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其他资金：248.48</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kern w:val="0"/>
                <w:szCs w:val="21"/>
              </w:rPr>
            </w:pPr>
            <w:r>
              <w:rPr>
                <w:rFonts w:hint="eastAsia" w:eastAsia="仿宋_GB2312"/>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kern w:val="0"/>
                <w:szCs w:val="21"/>
              </w:rPr>
            </w:pP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ind w:firstLine="420" w:firstLineChars="200"/>
              <w:jc w:val="left"/>
              <w:rPr>
                <w:rFonts w:eastAsia="仿宋_GB2312"/>
                <w:kern w:val="0"/>
                <w:szCs w:val="21"/>
              </w:rPr>
            </w:pPr>
            <w:r>
              <w:rPr>
                <w:rFonts w:hint="eastAsia" w:eastAsia="仿宋_GB2312"/>
                <w:kern w:val="0"/>
                <w:szCs w:val="21"/>
              </w:rPr>
              <w:t>党建工作持续加强，改革稳步推进，地质主业稳健发展，队伍稳定和谐。　　</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按照年度总目标有序推进，已完成预期目标。</w:t>
            </w:r>
          </w:p>
        </w:tc>
      </w:tr>
      <w:tr>
        <w:tblPrEx>
          <w:tblCellMar>
            <w:top w:w="0" w:type="dxa"/>
            <w:left w:w="108" w:type="dxa"/>
            <w:bottom w:w="0" w:type="dxa"/>
            <w:right w:w="108" w:type="dxa"/>
          </w:tblCellMar>
        </w:tblPrEx>
        <w:trPr>
          <w:trHeight w:val="820" w:hRule="atLeast"/>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绩</w:t>
            </w:r>
          </w:p>
          <w:p>
            <w:pPr>
              <w:widowControl/>
              <w:spacing w:line="240" w:lineRule="exact"/>
              <w:jc w:val="center"/>
              <w:rPr>
                <w:rFonts w:eastAsia="仿宋_GB2312"/>
                <w:kern w:val="0"/>
                <w:szCs w:val="21"/>
              </w:rPr>
            </w:pPr>
            <w:r>
              <w:rPr>
                <w:rFonts w:hint="eastAsia" w:eastAsia="仿宋_GB2312"/>
                <w:kern w:val="0"/>
                <w:szCs w:val="21"/>
              </w:rPr>
              <w:t>效</w:t>
            </w:r>
          </w:p>
          <w:p>
            <w:pPr>
              <w:widowControl/>
              <w:spacing w:line="240" w:lineRule="exact"/>
              <w:jc w:val="center"/>
              <w:rPr>
                <w:rFonts w:eastAsia="仿宋_GB2312"/>
                <w:kern w:val="0"/>
                <w:szCs w:val="21"/>
              </w:rPr>
            </w:pPr>
            <w:r>
              <w:rPr>
                <w:rFonts w:hint="eastAsia" w:eastAsia="仿宋_GB2312"/>
                <w:kern w:val="0"/>
                <w:szCs w:val="21"/>
              </w:rPr>
              <w:t>指</w:t>
            </w:r>
          </w:p>
          <w:p>
            <w:pPr>
              <w:widowControl/>
              <w:spacing w:line="240" w:lineRule="exact"/>
              <w:jc w:val="center"/>
              <w:rPr>
                <w:rFonts w:eastAsia="仿宋_GB2312"/>
                <w:kern w:val="0"/>
                <w:szCs w:val="21"/>
              </w:rPr>
            </w:pPr>
            <w:r>
              <w:rPr>
                <w:rFonts w:hint="eastAsia" w:eastAsia="仿宋_GB2312"/>
                <w:kern w:val="0"/>
                <w:szCs w:val="21"/>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三级指标</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年度</w:t>
            </w:r>
          </w:p>
          <w:p>
            <w:pPr>
              <w:widowControl/>
              <w:spacing w:line="240" w:lineRule="exact"/>
              <w:jc w:val="center"/>
              <w:rPr>
                <w:rFonts w:eastAsia="仿宋_GB2312"/>
                <w:kern w:val="0"/>
                <w:szCs w:val="21"/>
              </w:rPr>
            </w:pPr>
            <w:r>
              <w:rPr>
                <w:rFonts w:hint="eastAsia" w:eastAsia="仿宋_GB2312"/>
                <w:kern w:val="0"/>
                <w:szCs w:val="21"/>
              </w:rPr>
              <w:t>指标值</w:t>
            </w:r>
          </w:p>
        </w:tc>
        <w:tc>
          <w:tcPr>
            <w:tcW w:w="1276" w:type="dxa"/>
            <w:tcBorders>
              <w:top w:val="nil"/>
              <w:left w:val="nil"/>
              <w:bottom w:val="single" w:color="auto" w:sz="4" w:space="0"/>
              <w:right w:val="single" w:color="auto" w:sz="4" w:space="0"/>
            </w:tcBorders>
            <w:vAlign w:val="center"/>
          </w:tcPr>
          <w:p>
            <w:pPr>
              <w:widowControl/>
              <w:spacing w:line="240" w:lineRule="exact"/>
              <w:rPr>
                <w:rFonts w:eastAsia="仿宋_GB2312"/>
                <w:kern w:val="0"/>
                <w:szCs w:val="21"/>
              </w:rPr>
            </w:pPr>
            <w:r>
              <w:rPr>
                <w:rFonts w:hint="eastAsia" w:eastAsia="仿宋_GB2312"/>
                <w:kern w:val="0"/>
                <w:szCs w:val="21"/>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偏差原因</w:t>
            </w:r>
          </w:p>
          <w:p>
            <w:pPr>
              <w:widowControl/>
              <w:spacing w:line="240" w:lineRule="exact"/>
              <w:jc w:val="center"/>
              <w:rPr>
                <w:rFonts w:eastAsia="仿宋_GB2312"/>
                <w:kern w:val="0"/>
                <w:szCs w:val="21"/>
              </w:rPr>
            </w:pPr>
            <w:r>
              <w:rPr>
                <w:rFonts w:hint="eastAsia" w:eastAsia="仿宋_GB2312"/>
                <w:kern w:val="0"/>
                <w:szCs w:val="21"/>
              </w:rPr>
              <w:t>分析及</w:t>
            </w:r>
          </w:p>
          <w:p>
            <w:pPr>
              <w:widowControl/>
              <w:spacing w:line="240" w:lineRule="exact"/>
              <w:jc w:val="center"/>
              <w:rPr>
                <w:rFonts w:eastAsia="仿宋_GB2312"/>
                <w:kern w:val="0"/>
                <w:szCs w:val="21"/>
              </w:rPr>
            </w:pPr>
            <w:r>
              <w:rPr>
                <w:rFonts w:hint="eastAsia" w:eastAsia="仿宋_GB2312"/>
                <w:kern w:val="0"/>
                <w:szCs w:val="21"/>
              </w:rPr>
              <w:t>改进措施</w:t>
            </w:r>
          </w:p>
        </w:tc>
      </w:tr>
      <w:tr>
        <w:tblPrEx>
          <w:tblCellMar>
            <w:top w:w="0" w:type="dxa"/>
            <w:left w:w="108" w:type="dxa"/>
            <w:bottom w:w="0" w:type="dxa"/>
            <w:right w:w="108" w:type="dxa"/>
          </w:tblCellMar>
        </w:tblPrEx>
        <w:trPr>
          <w:trHeight w:val="41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产出指标</w:t>
            </w:r>
          </w:p>
          <w:p>
            <w:pPr>
              <w:widowControl/>
              <w:spacing w:line="240" w:lineRule="exact"/>
              <w:jc w:val="center"/>
              <w:rPr>
                <w:rFonts w:eastAsia="仿宋_GB2312"/>
                <w:kern w:val="0"/>
                <w:szCs w:val="21"/>
              </w:rPr>
            </w:pPr>
          </w:p>
          <w:p>
            <w:pPr>
              <w:widowControl/>
              <w:spacing w:line="240" w:lineRule="exac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数量指标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收入完成率</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15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6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支出完成率</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99.98%</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14</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质量指标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资金使用合规性</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规范使用资金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时效指标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预决算信息公开性</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依法依规公开相关信息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成本指标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一般性支出压减</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一般性支出压减3%</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4</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3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效益指标</w:t>
            </w:r>
          </w:p>
          <w:p>
            <w:pPr>
              <w:widowControl/>
              <w:spacing w:line="240" w:lineRule="exact"/>
              <w:jc w:val="left"/>
              <w:rPr>
                <w:rFonts w:eastAsia="仿宋_GB2312"/>
                <w:kern w:val="0"/>
                <w:szCs w:val="21"/>
              </w:rPr>
            </w:pPr>
          </w:p>
          <w:p>
            <w:pPr>
              <w:widowControl/>
              <w:spacing w:line="240" w:lineRule="exac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经济效</w:t>
            </w:r>
          </w:p>
          <w:p>
            <w:pPr>
              <w:widowControl/>
              <w:spacing w:line="240" w:lineRule="exact"/>
              <w:jc w:val="center"/>
              <w:rPr>
                <w:rFonts w:eastAsia="仿宋_GB2312"/>
                <w:kern w:val="0"/>
                <w:szCs w:val="21"/>
              </w:rPr>
            </w:pPr>
            <w:r>
              <w:rPr>
                <w:rFonts w:hint="eastAsia" w:eastAsia="仿宋_GB2312"/>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地质主业</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发展态势良好</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社会效</w:t>
            </w:r>
          </w:p>
          <w:p>
            <w:pPr>
              <w:widowControl/>
              <w:spacing w:line="240" w:lineRule="exact"/>
              <w:jc w:val="center"/>
              <w:rPr>
                <w:rFonts w:eastAsia="仿宋_GB2312"/>
                <w:kern w:val="0"/>
                <w:szCs w:val="21"/>
              </w:rPr>
            </w:pPr>
            <w:r>
              <w:rPr>
                <w:rFonts w:hint="eastAsia" w:eastAsia="仿宋_GB2312"/>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确保民生</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保持队伍稳定</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生态效</w:t>
            </w:r>
          </w:p>
          <w:p>
            <w:pPr>
              <w:widowControl/>
              <w:spacing w:line="240" w:lineRule="exact"/>
              <w:jc w:val="center"/>
              <w:rPr>
                <w:rFonts w:eastAsia="仿宋_GB2312"/>
                <w:kern w:val="0"/>
                <w:szCs w:val="21"/>
              </w:rPr>
            </w:pPr>
            <w:r>
              <w:rPr>
                <w:rFonts w:hint="eastAsia" w:eastAsia="仿宋_GB2312"/>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环境保护</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效果较好</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绩</w:t>
            </w:r>
          </w:p>
          <w:p>
            <w:pPr>
              <w:widowControl/>
              <w:spacing w:line="240" w:lineRule="exact"/>
              <w:jc w:val="center"/>
              <w:rPr>
                <w:rFonts w:eastAsia="仿宋_GB2312"/>
                <w:kern w:val="0"/>
                <w:szCs w:val="21"/>
              </w:rPr>
            </w:pPr>
            <w:r>
              <w:rPr>
                <w:rFonts w:hint="eastAsia" w:eastAsia="仿宋_GB2312"/>
                <w:kern w:val="0"/>
                <w:szCs w:val="21"/>
              </w:rPr>
              <w:t>效</w:t>
            </w:r>
          </w:p>
          <w:p>
            <w:pPr>
              <w:widowControl/>
              <w:spacing w:line="240" w:lineRule="exact"/>
              <w:jc w:val="center"/>
              <w:rPr>
                <w:rFonts w:eastAsia="仿宋_GB2312"/>
                <w:kern w:val="0"/>
                <w:szCs w:val="21"/>
              </w:rPr>
            </w:pPr>
            <w:r>
              <w:rPr>
                <w:rFonts w:hint="eastAsia" w:eastAsia="仿宋_GB2312"/>
                <w:kern w:val="0"/>
                <w:szCs w:val="21"/>
              </w:rPr>
              <w:t>指</w:t>
            </w:r>
          </w:p>
          <w:p>
            <w:pPr>
              <w:widowControl/>
              <w:spacing w:line="240" w:lineRule="exact"/>
              <w:jc w:val="center"/>
              <w:rPr>
                <w:rFonts w:eastAsia="仿宋_GB2312"/>
                <w:kern w:val="0"/>
                <w:szCs w:val="21"/>
              </w:rPr>
            </w:pPr>
            <w:r>
              <w:rPr>
                <w:rFonts w:hint="eastAsia" w:eastAsia="仿宋_GB2312"/>
                <w:kern w:val="0"/>
                <w:szCs w:val="21"/>
              </w:rPr>
              <w:t>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持续发展主业</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发展态势良好</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1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满意度</w:t>
            </w:r>
          </w:p>
          <w:p>
            <w:pPr>
              <w:widowControl/>
              <w:spacing w:line="240" w:lineRule="exact"/>
              <w:jc w:val="center"/>
              <w:rPr>
                <w:rFonts w:eastAsia="仿宋_GB2312"/>
                <w:kern w:val="0"/>
                <w:szCs w:val="21"/>
              </w:rPr>
            </w:pPr>
            <w:r>
              <w:rPr>
                <w:rFonts w:hint="eastAsia" w:eastAsia="仿宋_GB2312"/>
                <w:kern w:val="0"/>
                <w:szCs w:val="21"/>
              </w:rPr>
              <w:t>指标</w:t>
            </w:r>
          </w:p>
          <w:p>
            <w:pPr>
              <w:widowControl/>
              <w:spacing w:line="240" w:lineRule="exact"/>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服务对象满意度指标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服务基层</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效果较好</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3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kern w:val="0"/>
                <w:szCs w:val="21"/>
              </w:rPr>
            </w:pPr>
            <w:r>
              <w:rPr>
                <w:rFonts w:hint="eastAsia" w:eastAsia="仿宋_GB2312"/>
                <w:kern w:val="0"/>
                <w:szCs w:val="21"/>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eastAsia="仿宋_GB2312"/>
                <w:kern w:val="0"/>
                <w:szCs w:val="21"/>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97</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w:t>
            </w:r>
          </w:p>
        </w:tc>
      </w:tr>
    </w:tbl>
    <w:p>
      <w:pPr>
        <w:widowControl/>
        <w:spacing w:line="240" w:lineRule="exact"/>
        <w:jc w:val="left"/>
        <w:rPr>
          <w:rFonts w:eastAsia="仿宋_GB2312"/>
          <w:kern w:val="0"/>
          <w:szCs w:val="21"/>
        </w:rPr>
      </w:pPr>
    </w:p>
    <w:p>
      <w:pPr>
        <w:widowControl/>
        <w:spacing w:line="600" w:lineRule="exact"/>
        <w:jc w:val="left"/>
      </w:pPr>
      <w:r>
        <w:rPr>
          <w:rFonts w:hint="eastAsia" w:eastAsia="仿宋_GB2312"/>
          <w:kern w:val="0"/>
          <w:szCs w:val="21"/>
        </w:rPr>
        <w:t>填表人：彭奕填报日期：2020.4.28联系电话：13873399858单位负责人签字：</w:t>
      </w:r>
    </w:p>
    <w:p>
      <w:pPr>
        <w:widowControl/>
        <w:jc w:val="left"/>
        <w:rPr>
          <w:rFonts w:cs="黑体" w:asciiTheme="minorEastAsia" w:hAnsiTheme="minorEastAsia"/>
          <w:b/>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EB35"/>
    <w:multiLevelType w:val="singleLevel"/>
    <w:tmpl w:val="BC5BEB35"/>
    <w:lvl w:ilvl="0" w:tentative="0">
      <w:start w:val="1"/>
      <w:numFmt w:val="chineseCounting"/>
      <w:suff w:val="nothing"/>
      <w:lvlText w:val="%1、"/>
      <w:lvlJc w:val="left"/>
      <w:rPr>
        <w:rFonts w:hint="eastAsia"/>
      </w:rPr>
    </w:lvl>
  </w:abstractNum>
  <w:abstractNum w:abstractNumId="1">
    <w:nsid w:val="1B1B81A6"/>
    <w:multiLevelType w:val="singleLevel"/>
    <w:tmpl w:val="1B1B81A6"/>
    <w:lvl w:ilvl="0" w:tentative="0">
      <w:start w:val="6"/>
      <w:numFmt w:val="chineseCounting"/>
      <w:suff w:val="nothing"/>
      <w:lvlText w:val="%1、"/>
      <w:lvlJc w:val="left"/>
      <w:pPr>
        <w:ind w:left="200"/>
      </w:pPr>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CC3096"/>
    <w:multiLevelType w:val="singleLevel"/>
    <w:tmpl w:val="46CC3096"/>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dhYTNiZTdlNGJjNjNmZWIwZGZiYzllYjEyMTAyMDkifQ=="/>
  </w:docVars>
  <w:rsids>
    <w:rsidRoot w:val="004506F9"/>
    <w:rsid w:val="00013641"/>
    <w:rsid w:val="0002229B"/>
    <w:rsid w:val="000273BD"/>
    <w:rsid w:val="000415B7"/>
    <w:rsid w:val="00041E3F"/>
    <w:rsid w:val="00055DAA"/>
    <w:rsid w:val="00061F7B"/>
    <w:rsid w:val="000658A3"/>
    <w:rsid w:val="00074155"/>
    <w:rsid w:val="000A3F69"/>
    <w:rsid w:val="000B3B72"/>
    <w:rsid w:val="000D0F6F"/>
    <w:rsid w:val="00103957"/>
    <w:rsid w:val="00113D6D"/>
    <w:rsid w:val="00152C6D"/>
    <w:rsid w:val="00155551"/>
    <w:rsid w:val="00162D39"/>
    <w:rsid w:val="001678BD"/>
    <w:rsid w:val="0018369E"/>
    <w:rsid w:val="001A13E2"/>
    <w:rsid w:val="001A42F7"/>
    <w:rsid w:val="001A67DB"/>
    <w:rsid w:val="001C3C29"/>
    <w:rsid w:val="001C5C4B"/>
    <w:rsid w:val="001D51E5"/>
    <w:rsid w:val="001E080D"/>
    <w:rsid w:val="001E53D0"/>
    <w:rsid w:val="001F0C3B"/>
    <w:rsid w:val="001F17A7"/>
    <w:rsid w:val="00202C82"/>
    <w:rsid w:val="00214427"/>
    <w:rsid w:val="00226CB7"/>
    <w:rsid w:val="00264552"/>
    <w:rsid w:val="00264EF9"/>
    <w:rsid w:val="00265724"/>
    <w:rsid w:val="0027426B"/>
    <w:rsid w:val="002960C1"/>
    <w:rsid w:val="002E0395"/>
    <w:rsid w:val="002E0869"/>
    <w:rsid w:val="002E0A30"/>
    <w:rsid w:val="003130C4"/>
    <w:rsid w:val="00316C4B"/>
    <w:rsid w:val="0032192B"/>
    <w:rsid w:val="003479BD"/>
    <w:rsid w:val="0037197D"/>
    <w:rsid w:val="003768D5"/>
    <w:rsid w:val="003A4D43"/>
    <w:rsid w:val="003C47E6"/>
    <w:rsid w:val="003C4FC2"/>
    <w:rsid w:val="0041612E"/>
    <w:rsid w:val="00416E61"/>
    <w:rsid w:val="00425A0F"/>
    <w:rsid w:val="0042790C"/>
    <w:rsid w:val="004506F9"/>
    <w:rsid w:val="004717A2"/>
    <w:rsid w:val="00473DF3"/>
    <w:rsid w:val="00487911"/>
    <w:rsid w:val="00491741"/>
    <w:rsid w:val="004B22E6"/>
    <w:rsid w:val="00500E5F"/>
    <w:rsid w:val="005073A4"/>
    <w:rsid w:val="005122EF"/>
    <w:rsid w:val="0051441A"/>
    <w:rsid w:val="00517C33"/>
    <w:rsid w:val="00523644"/>
    <w:rsid w:val="00527ADA"/>
    <w:rsid w:val="005329E6"/>
    <w:rsid w:val="0054069E"/>
    <w:rsid w:val="00544866"/>
    <w:rsid w:val="005767CC"/>
    <w:rsid w:val="0058585F"/>
    <w:rsid w:val="00590D9F"/>
    <w:rsid w:val="00595D26"/>
    <w:rsid w:val="005A74E6"/>
    <w:rsid w:val="005B404E"/>
    <w:rsid w:val="005D4D55"/>
    <w:rsid w:val="005E2CFB"/>
    <w:rsid w:val="005F3D1C"/>
    <w:rsid w:val="0062378F"/>
    <w:rsid w:val="00631B8B"/>
    <w:rsid w:val="00641842"/>
    <w:rsid w:val="00651EEC"/>
    <w:rsid w:val="0065207F"/>
    <w:rsid w:val="00686673"/>
    <w:rsid w:val="00691E8C"/>
    <w:rsid w:val="006A22C4"/>
    <w:rsid w:val="006A351B"/>
    <w:rsid w:val="006B0422"/>
    <w:rsid w:val="006C1B53"/>
    <w:rsid w:val="006D7730"/>
    <w:rsid w:val="006E5284"/>
    <w:rsid w:val="006F3EB5"/>
    <w:rsid w:val="00702E34"/>
    <w:rsid w:val="00704395"/>
    <w:rsid w:val="00717621"/>
    <w:rsid w:val="00720FF1"/>
    <w:rsid w:val="007278B6"/>
    <w:rsid w:val="00727A53"/>
    <w:rsid w:val="00731469"/>
    <w:rsid w:val="00744FEF"/>
    <w:rsid w:val="00757568"/>
    <w:rsid w:val="00787483"/>
    <w:rsid w:val="00787B42"/>
    <w:rsid w:val="00795FB1"/>
    <w:rsid w:val="007A3C2D"/>
    <w:rsid w:val="007A6687"/>
    <w:rsid w:val="007B0A8C"/>
    <w:rsid w:val="007C4539"/>
    <w:rsid w:val="007F3657"/>
    <w:rsid w:val="00810CFD"/>
    <w:rsid w:val="00812ED5"/>
    <w:rsid w:val="00825627"/>
    <w:rsid w:val="008277D9"/>
    <w:rsid w:val="0084478C"/>
    <w:rsid w:val="0086638C"/>
    <w:rsid w:val="008A3E8D"/>
    <w:rsid w:val="008A6B77"/>
    <w:rsid w:val="008D5ECD"/>
    <w:rsid w:val="00911822"/>
    <w:rsid w:val="009237C4"/>
    <w:rsid w:val="00941FEA"/>
    <w:rsid w:val="00944C48"/>
    <w:rsid w:val="00945FAF"/>
    <w:rsid w:val="00950252"/>
    <w:rsid w:val="00967F5D"/>
    <w:rsid w:val="009A0ADC"/>
    <w:rsid w:val="009A0F95"/>
    <w:rsid w:val="009B3ADF"/>
    <w:rsid w:val="009C3B52"/>
    <w:rsid w:val="009D3217"/>
    <w:rsid w:val="009E6817"/>
    <w:rsid w:val="009E6E9A"/>
    <w:rsid w:val="00A01D2B"/>
    <w:rsid w:val="00A42218"/>
    <w:rsid w:val="00A521BE"/>
    <w:rsid w:val="00A70249"/>
    <w:rsid w:val="00A7040D"/>
    <w:rsid w:val="00A70B02"/>
    <w:rsid w:val="00A71D9F"/>
    <w:rsid w:val="00A92E9F"/>
    <w:rsid w:val="00AB61CD"/>
    <w:rsid w:val="00B33BEA"/>
    <w:rsid w:val="00B36C41"/>
    <w:rsid w:val="00B57C9F"/>
    <w:rsid w:val="00B63572"/>
    <w:rsid w:val="00B845B3"/>
    <w:rsid w:val="00B85D8B"/>
    <w:rsid w:val="00B87C08"/>
    <w:rsid w:val="00BB4A40"/>
    <w:rsid w:val="00BD6C3E"/>
    <w:rsid w:val="00BE3674"/>
    <w:rsid w:val="00C10681"/>
    <w:rsid w:val="00C3049A"/>
    <w:rsid w:val="00C31B1E"/>
    <w:rsid w:val="00C43CF5"/>
    <w:rsid w:val="00C77645"/>
    <w:rsid w:val="00CA6D85"/>
    <w:rsid w:val="00CE04C3"/>
    <w:rsid w:val="00CE76A0"/>
    <w:rsid w:val="00D148C6"/>
    <w:rsid w:val="00D17A8A"/>
    <w:rsid w:val="00D415BA"/>
    <w:rsid w:val="00D644EE"/>
    <w:rsid w:val="00DC25B1"/>
    <w:rsid w:val="00DD06FF"/>
    <w:rsid w:val="00DD5FE9"/>
    <w:rsid w:val="00DE4655"/>
    <w:rsid w:val="00E00C7A"/>
    <w:rsid w:val="00E072E7"/>
    <w:rsid w:val="00E37D6C"/>
    <w:rsid w:val="00E55B68"/>
    <w:rsid w:val="00E67BE6"/>
    <w:rsid w:val="00E8683C"/>
    <w:rsid w:val="00EA2B72"/>
    <w:rsid w:val="00EC7253"/>
    <w:rsid w:val="00F02F9D"/>
    <w:rsid w:val="00F74360"/>
    <w:rsid w:val="00FB462F"/>
    <w:rsid w:val="00FC0F4F"/>
    <w:rsid w:val="00FC70F9"/>
    <w:rsid w:val="00FE16FA"/>
    <w:rsid w:val="00FE328A"/>
    <w:rsid w:val="00FE6269"/>
    <w:rsid w:val="00FF5CD6"/>
    <w:rsid w:val="010A6AF6"/>
    <w:rsid w:val="0660428D"/>
    <w:rsid w:val="07956D00"/>
    <w:rsid w:val="086333E1"/>
    <w:rsid w:val="09F13D16"/>
    <w:rsid w:val="0A0956B4"/>
    <w:rsid w:val="0DFD7060"/>
    <w:rsid w:val="0E1541EA"/>
    <w:rsid w:val="12B51330"/>
    <w:rsid w:val="15FF5CC4"/>
    <w:rsid w:val="18C53EA6"/>
    <w:rsid w:val="1A760E0D"/>
    <w:rsid w:val="1BED380A"/>
    <w:rsid w:val="1E3F03C3"/>
    <w:rsid w:val="1F820A11"/>
    <w:rsid w:val="224059CF"/>
    <w:rsid w:val="228A0C89"/>
    <w:rsid w:val="26B227ED"/>
    <w:rsid w:val="26E852C0"/>
    <w:rsid w:val="28141286"/>
    <w:rsid w:val="29821CE5"/>
    <w:rsid w:val="2B441D75"/>
    <w:rsid w:val="2E284929"/>
    <w:rsid w:val="2E4926AF"/>
    <w:rsid w:val="33F32220"/>
    <w:rsid w:val="341F0DF5"/>
    <w:rsid w:val="35863D11"/>
    <w:rsid w:val="368C3DD6"/>
    <w:rsid w:val="389E31B1"/>
    <w:rsid w:val="3AE5512F"/>
    <w:rsid w:val="3B65200F"/>
    <w:rsid w:val="3C9D1635"/>
    <w:rsid w:val="3FC06078"/>
    <w:rsid w:val="416F6C3D"/>
    <w:rsid w:val="419109ED"/>
    <w:rsid w:val="493E2D7F"/>
    <w:rsid w:val="49FA1A96"/>
    <w:rsid w:val="4A1238A7"/>
    <w:rsid w:val="4C9C42D5"/>
    <w:rsid w:val="4C9F2769"/>
    <w:rsid w:val="4E03002D"/>
    <w:rsid w:val="4F04490D"/>
    <w:rsid w:val="4F0E65CF"/>
    <w:rsid w:val="4F851020"/>
    <w:rsid w:val="5080245E"/>
    <w:rsid w:val="58AB74A9"/>
    <w:rsid w:val="5AF02AF1"/>
    <w:rsid w:val="5B1E14BA"/>
    <w:rsid w:val="63D34C9A"/>
    <w:rsid w:val="68423E1E"/>
    <w:rsid w:val="6B7429C5"/>
    <w:rsid w:val="6CF9152F"/>
    <w:rsid w:val="6D4B430A"/>
    <w:rsid w:val="72BD007C"/>
    <w:rsid w:val="733C7C06"/>
    <w:rsid w:val="738D200A"/>
    <w:rsid w:val="750E65B0"/>
    <w:rsid w:val="75923B82"/>
    <w:rsid w:val="76C90C16"/>
    <w:rsid w:val="781C6743"/>
    <w:rsid w:val="7EBE325F"/>
    <w:rsid w:val="7EE66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86ABB-9F7C-42DB-8153-DFEBFDD4A7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10051</Words>
  <Characters>13113</Characters>
  <Lines>113</Lines>
  <Paragraphs>32</Paragraphs>
  <TotalTime>0</TotalTime>
  <ScaleCrop>false</ScaleCrop>
  <LinksUpToDate>false</LinksUpToDate>
  <CharactersWithSpaces>13782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2022-09-09T04:19:00Z</dcterms:created>
  <dc:creator>李航 null</dc:creator>
  <cp:lastModifiedBy>Administrator</cp:lastModifiedBy>
  <cp:lastPrinted>2022-09-09T04:23:00Z</cp:lastPrinted>
  <dcterms:modified xsi:type="dcterms:W3CDTF">2022-09-09T07:22:36Z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7C28FC19D15A4702A24DCDE5DC586C63</vt:lpwstr>
  </property>
</Properties>
</file>