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adjustRightInd w:val="0"/>
        <w:jc w:val="center"/>
        <w:rPr>
          <w:rFonts w:hint="eastAsia" w:ascii="方正小标宋_GBK" w:hAnsi="华文中宋" w:eastAsia="方正小标宋_GBK"/>
          <w:sz w:val="36"/>
          <w:szCs w:val="36"/>
        </w:rPr>
      </w:pPr>
      <w:r>
        <w:rPr>
          <w:rFonts w:hint="eastAsia" w:ascii="方正小标宋_GBK" w:hAnsi="华文中宋" w:eastAsia="方正小标宋_GBK"/>
          <w:sz w:val="36"/>
          <w:szCs w:val="36"/>
        </w:rPr>
        <w:t>油气矿业权出让收益市场基准价标准表</w:t>
      </w:r>
    </w:p>
    <w:p>
      <w:pPr>
        <w:adjustRightInd w:val="0"/>
        <w:jc w:val="center"/>
        <w:rPr>
          <w:rFonts w:hint="eastAsia" w:ascii="方正小标宋_GBK" w:hAnsi="华文中宋" w:eastAsia="方正小标宋_GBK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1912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WTI原油价格</w:t>
            </w:r>
          </w:p>
          <w:p>
            <w:pPr>
              <w:adjustRightIn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（美元/桶）</w:t>
            </w:r>
          </w:p>
        </w:tc>
        <w:tc>
          <w:tcPr>
            <w:tcW w:w="3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firstLine="313" w:firstLineChars="98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出让收益市场基准价</w:t>
            </w:r>
          </w:p>
          <w:p>
            <w:pPr>
              <w:adjustRightInd w:val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（万元人民币/平方千米）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firstLine="482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陆域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firstLine="482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海域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低于40（含）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0.4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65" w:firstLineChars="83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40-55（含）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0.5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55-65（含）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0.6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65" w:firstLineChars="83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65-80（含）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0.7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80-100（含）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0.8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65" w:firstLineChars="83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100以上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0.9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0.7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90" w:lineRule="atLeast"/>
        <w:ind w:right="0" w:rightChars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474D4"/>
          <w:spacing w:val="0"/>
          <w:sz w:val="24"/>
          <w:szCs w:val="24"/>
          <w:u w:val="none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0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2020-04-10T07:31:12Z</dcterms:created>
  <dc:creator>Administrator</dc:creator>
  <cp:lastModifiedBy>易礼</cp:lastModifiedBy>
  <dcterms:modified xsi:type="dcterms:W3CDTF">2020-04-10T07:31:27Z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